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0FAFA"/>
  <w:body>
    <w:p w14:paraId="3F23E043" w14:textId="1A0564C5" w:rsidR="004878AE" w:rsidRPr="00BF0914" w:rsidRDefault="007F1313" w:rsidP="00074EAB">
      <w:pPr>
        <w:spacing w:after="0"/>
        <w:rPr>
          <w:rFonts w:asciiTheme="majorHAnsi" w:hAnsiTheme="majorHAnsi" w:cstheme="majorHAnsi"/>
          <w:noProof/>
          <w:lang w:eastAsia="en-GB"/>
        </w:rPr>
      </w:pPr>
      <w:r w:rsidRPr="00BF0914">
        <w:rPr>
          <w:rFonts w:asciiTheme="majorHAnsi" w:hAnsiTheme="majorHAnsi" w:cstheme="majorHAnsi"/>
          <w:noProof/>
        </w:rPr>
        <mc:AlternateContent>
          <mc:Choice Requires="wps">
            <w:drawing>
              <wp:anchor distT="45720" distB="45720" distL="114300" distR="114300" simplePos="0" relativeHeight="251658240" behindDoc="0" locked="0" layoutInCell="1" allowOverlap="1" wp14:anchorId="6FFA9C35" wp14:editId="4E5A7762">
                <wp:simplePos x="0" y="0"/>
                <wp:positionH relativeFrom="column">
                  <wp:posOffset>4066540</wp:posOffset>
                </wp:positionH>
                <wp:positionV relativeFrom="paragraph">
                  <wp:posOffset>1189990</wp:posOffset>
                </wp:positionV>
                <wp:extent cx="2656205" cy="922655"/>
                <wp:effectExtent l="0" t="0" r="0" b="0"/>
                <wp:wrapSquare wrapText="bothSides"/>
                <wp:docPr id="486470398" name="Text Box 486470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6205" cy="922655"/>
                        </a:xfrm>
                        <a:prstGeom prst="rect">
                          <a:avLst/>
                        </a:prstGeom>
                        <a:noFill/>
                        <a:ln w="9525">
                          <a:noFill/>
                          <a:miter lim="800000"/>
                          <a:headEnd/>
                          <a:tailEnd/>
                        </a:ln>
                      </wps:spPr>
                      <wps:txbx>
                        <w:txbxContent>
                          <w:p w14:paraId="5D5A258B" w14:textId="77777777" w:rsidR="00953935" w:rsidRPr="004878AE" w:rsidRDefault="00953935">
                            <w:pPr>
                              <w:rPr>
                                <w:color w:val="595959" w:themeColor="text1" w:themeTint="A6"/>
                              </w:rPr>
                            </w:pPr>
                            <w:r w:rsidRPr="004878AE">
                              <w:rPr>
                                <w:rFonts w:ascii="TheSans Spire" w:hAnsi="TheSans Spire"/>
                                <w:noProof/>
                                <w:color w:val="595959" w:themeColor="text1" w:themeTint="A6"/>
                                <w:sz w:val="96"/>
                                <w:szCs w:val="96"/>
                                <w:lang w:eastAsia="en-GB"/>
                              </w:rPr>
                              <w:t>Policy</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FFA9C35" id="_x0000_t202" coordsize="21600,21600" o:spt="202" path="m,l,21600r21600,l21600,xe">
                <v:stroke joinstyle="miter"/>
                <v:path gradientshapeok="t" o:connecttype="rect"/>
              </v:shapetype>
              <v:shape id="Text Box 486470398" o:spid="_x0000_s1026" type="#_x0000_t202" style="position:absolute;margin-left:320.2pt;margin-top:93.7pt;width:209.15pt;height:72.65pt;z-index:25165824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" filled="f" stroked="f">
                <v:textbox>
                  <w:txbxContent>
                    <w:p w14:paraId="5D5A258B" w14:textId="77777777" w:rsidR="00953935" w:rsidRPr="004878AE" w:rsidRDefault="00953935">
                      <w:pPr>
                        <w:rPr>
                          <w:color w:val="595959" w:themeColor="text1" w:themeTint="A6"/>
                        </w:rPr>
                      </w:pPr>
                      <w:r w:rsidRPr="004878AE">
                        <w:rPr>
                          <w:rFonts w:ascii="TheSans Spire" w:hAnsi="TheSans Spire"/>
                          <w:noProof/>
                          <w:color w:val="595959" w:themeColor="text1" w:themeTint="A6"/>
                          <w:sz w:val="96"/>
                          <w:szCs w:val="96"/>
                          <w:lang w:eastAsia="en-GB"/>
                        </w:rPr>
                        <w:t>Policy</w:t>
                      </w:r>
                    </w:p>
                  </w:txbxContent>
                </v:textbox>
                <w10:wrap type="square"/>
              </v:shape>
            </w:pict>
          </mc:Fallback>
        </mc:AlternateContent>
      </w:r>
      <w:r w:rsidR="00074EAB" w:rsidRPr="00BF0914">
        <w:rPr>
          <w:rFonts w:asciiTheme="majorHAnsi" w:hAnsiTheme="majorHAnsi" w:cstheme="majorHAnsi"/>
          <w:noProof/>
          <w:lang w:eastAsia="en-GB"/>
        </w:rPr>
        <w:drawing>
          <wp:inline distT="0" distB="0" distL="0" distR="0" wp14:anchorId="5B821605" wp14:editId="2893A5F8">
            <wp:extent cx="3944588" cy="1992702"/>
            <wp:effectExtent l="0" t="0" r="0" b="7620"/>
            <wp:docPr id="2" name="Picture 2" descr="https://intranet.spirehealthcare.net/media/ytph1unj/spirelogo_primary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spirehealthcare.net/media/ytph1unj/spirelogo_primary_cmyk.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77866" cy="2009513"/>
                    </a:xfrm>
                    <a:prstGeom prst="rect">
                      <a:avLst/>
                    </a:prstGeom>
                    <a:noFill/>
                    <a:ln>
                      <a:noFill/>
                    </a:ln>
                  </pic:spPr>
                </pic:pic>
              </a:graphicData>
            </a:graphic>
          </wp:inline>
        </w:drawing>
      </w:r>
      <w:r w:rsidR="00074EAB" w:rsidRPr="00BF0914">
        <w:rPr>
          <w:rFonts w:asciiTheme="majorHAnsi" w:hAnsiTheme="majorHAnsi" w:cstheme="majorHAnsi"/>
          <w:noProof/>
          <w:lang w:eastAsia="en-GB"/>
        </w:rPr>
        <w:t xml:space="preserve">   </w:t>
      </w:r>
    </w:p>
    <w:p w14:paraId="5E5F37F7" w14:textId="77777777" w:rsidR="00074EAB" w:rsidRPr="00BF0914" w:rsidRDefault="00074EAB" w:rsidP="00074EAB">
      <w:pPr>
        <w:spacing w:after="0"/>
        <w:rPr>
          <w:rFonts w:asciiTheme="majorHAnsi" w:hAnsiTheme="majorHAnsi" w:cstheme="majorHAnsi"/>
          <w:b/>
          <w:noProof/>
          <w:color w:val="3B3838" w:themeColor="background2" w:themeShade="40"/>
          <w:lang w:eastAsia="en-GB"/>
        </w:rPr>
      </w:pPr>
    </w:p>
    <w:p w14:paraId="05F2DF77" w14:textId="77777777" w:rsidR="004878AE" w:rsidRPr="00BF0914" w:rsidRDefault="002D10EC" w:rsidP="002D10EC">
      <w:pPr>
        <w:spacing w:after="0"/>
        <w:jc w:val="center"/>
        <w:rPr>
          <w:rFonts w:asciiTheme="majorHAnsi" w:hAnsiTheme="majorHAnsi" w:cstheme="majorHAnsi"/>
          <w:i/>
          <w:noProof/>
          <w:color w:val="3B3838" w:themeColor="background2" w:themeShade="40"/>
          <w:lang w:eastAsia="en-GB"/>
        </w:rPr>
      </w:pPr>
      <w:r w:rsidRPr="00BF0914">
        <w:rPr>
          <w:rFonts w:asciiTheme="majorHAnsi" w:hAnsiTheme="majorHAnsi" w:cstheme="majorHAnsi"/>
          <w:i/>
          <w:noProof/>
          <w:color w:val="3B3838" w:themeColor="background2" w:themeShade="40"/>
          <w:lang w:eastAsia="en-GB"/>
        </w:rPr>
        <w:t>For further details of how to complete this template please refer to the Policy / Document Guide on the last page</w:t>
      </w:r>
    </w:p>
    <w:p w14:paraId="51739ED0" w14:textId="77777777" w:rsidR="004878AE" w:rsidRPr="00BF0914" w:rsidRDefault="004878AE" w:rsidP="00074EAB">
      <w:pPr>
        <w:spacing w:after="0"/>
        <w:rPr>
          <w:rFonts w:asciiTheme="majorHAnsi" w:hAnsiTheme="majorHAnsi" w:cstheme="majorHAnsi"/>
          <w:b/>
          <w:noProof/>
          <w:color w:val="3B3838" w:themeColor="background2" w:themeShade="40"/>
          <w:lang w:eastAsia="en-GB"/>
        </w:rPr>
      </w:pPr>
    </w:p>
    <w:tbl>
      <w:tblPr>
        <w:tblStyle w:val="TableGrid"/>
        <w:tblW w:w="9781" w:type="dxa"/>
        <w:tblBorders>
          <w:top w:val="single" w:sz="48" w:space="0" w:color="FFFFFF" w:themeColor="background1"/>
          <w:left w:val="none" w:sz="0" w:space="0" w:color="auto"/>
          <w:bottom w:val="single" w:sz="48" w:space="0" w:color="FFFFFF" w:themeColor="background1"/>
          <w:right w:val="none" w:sz="0" w:space="0" w:color="auto"/>
          <w:insideH w:val="single" w:sz="48" w:space="0" w:color="FFFFFF" w:themeColor="background1"/>
          <w:insideV w:val="single" w:sz="48" w:space="0" w:color="FFFFFF" w:themeColor="background1"/>
        </w:tblBorders>
        <w:tblLook w:val="04A0" w:firstRow="1" w:lastRow="0" w:firstColumn="1" w:lastColumn="0" w:noHBand="0" w:noVBand="1"/>
      </w:tblPr>
      <w:tblGrid>
        <w:gridCol w:w="2835"/>
        <w:gridCol w:w="6946"/>
      </w:tblGrid>
      <w:tr w:rsidR="00074EAB" w:rsidRPr="00BF0914" w14:paraId="1DC741D8" w14:textId="77777777" w:rsidTr="00162DCE">
        <w:trPr>
          <w:trHeight w:val="270"/>
        </w:trPr>
        <w:tc>
          <w:tcPr>
            <w:tcW w:w="2835" w:type="dxa"/>
            <w:shd w:val="clear" w:color="auto" w:fill="008385"/>
            <w:noWrap/>
            <w:vAlign w:val="center"/>
          </w:tcPr>
          <w:p w14:paraId="5BA06F72" w14:textId="77777777" w:rsidR="00074EAB" w:rsidRPr="00BF0914" w:rsidRDefault="00074EAB" w:rsidP="004E7C88">
            <w:pPr>
              <w:jc w:val="right"/>
              <w:rPr>
                <w:rFonts w:asciiTheme="majorHAnsi" w:hAnsiTheme="majorHAnsi" w:cstheme="majorHAnsi"/>
                <w:color w:val="FFFFFF" w:themeColor="background1"/>
              </w:rPr>
            </w:pPr>
            <w:r w:rsidRPr="00BF0914">
              <w:rPr>
                <w:rFonts w:asciiTheme="majorHAnsi" w:hAnsiTheme="majorHAnsi" w:cstheme="majorHAnsi"/>
                <w:color w:val="FFFFFF" w:themeColor="background1"/>
              </w:rPr>
              <w:t>Reference:</w:t>
            </w:r>
          </w:p>
        </w:tc>
        <w:tc>
          <w:tcPr>
            <w:tcW w:w="6946" w:type="dxa"/>
            <w:vAlign w:val="center"/>
          </w:tcPr>
          <w:p w14:paraId="34E0591B" w14:textId="15126D3E" w:rsidR="00074EAB" w:rsidRPr="004B3C05" w:rsidRDefault="001A46AA" w:rsidP="001923F1">
            <w:pPr>
              <w:ind w:left="94"/>
              <w:rPr>
                <w:rFonts w:asciiTheme="majorHAnsi" w:hAnsiTheme="majorHAnsi" w:cstheme="majorHAnsi"/>
                <w:color w:val="3B3838" w:themeColor="background2" w:themeShade="40"/>
                <w:sz w:val="24"/>
                <w:szCs w:val="24"/>
              </w:rPr>
            </w:pPr>
            <w:r>
              <w:rPr>
                <w:rFonts w:asciiTheme="majorHAnsi" w:hAnsiTheme="majorHAnsi" w:cstheme="majorHAnsi"/>
                <w:color w:val="3B3838" w:themeColor="background2" w:themeShade="40"/>
                <w:sz w:val="24"/>
                <w:szCs w:val="24"/>
              </w:rPr>
              <w:t>Clini 103</w:t>
            </w:r>
          </w:p>
        </w:tc>
      </w:tr>
      <w:tr w:rsidR="00074EAB" w:rsidRPr="00BF0914" w14:paraId="6C53244F" w14:textId="77777777" w:rsidTr="00162DCE">
        <w:trPr>
          <w:trHeight w:val="255"/>
        </w:trPr>
        <w:tc>
          <w:tcPr>
            <w:tcW w:w="2835" w:type="dxa"/>
            <w:shd w:val="clear" w:color="auto" w:fill="008385"/>
            <w:noWrap/>
            <w:vAlign w:val="center"/>
          </w:tcPr>
          <w:p w14:paraId="0035B791" w14:textId="77777777" w:rsidR="00074EAB" w:rsidRPr="00BF0914" w:rsidRDefault="00074EAB" w:rsidP="004E7C88">
            <w:pPr>
              <w:jc w:val="right"/>
              <w:rPr>
                <w:rFonts w:asciiTheme="majorHAnsi" w:hAnsiTheme="majorHAnsi" w:cstheme="majorHAnsi"/>
                <w:color w:val="FFFFFF" w:themeColor="background1"/>
              </w:rPr>
            </w:pPr>
            <w:r w:rsidRPr="00BF0914">
              <w:rPr>
                <w:rFonts w:asciiTheme="majorHAnsi" w:hAnsiTheme="majorHAnsi" w:cstheme="majorHAnsi"/>
                <w:color w:val="FFFFFF" w:themeColor="background1"/>
              </w:rPr>
              <w:t>Policy Name:</w:t>
            </w:r>
          </w:p>
        </w:tc>
        <w:tc>
          <w:tcPr>
            <w:tcW w:w="6946" w:type="dxa"/>
            <w:vAlign w:val="center"/>
          </w:tcPr>
          <w:p w14:paraId="27CFDCB7" w14:textId="2C9297CE" w:rsidR="000C51BD" w:rsidRPr="004B3C05" w:rsidRDefault="00C84612" w:rsidP="000C51BD">
            <w:pPr>
              <w:ind w:left="94"/>
              <w:rPr>
                <w:rFonts w:asciiTheme="majorHAnsi" w:hAnsiTheme="majorHAnsi" w:cstheme="majorHAnsi"/>
                <w:color w:val="3B3838" w:themeColor="background2" w:themeShade="40"/>
                <w:sz w:val="24"/>
                <w:szCs w:val="24"/>
              </w:rPr>
            </w:pPr>
            <w:r w:rsidRPr="004B3C05">
              <w:rPr>
                <w:rFonts w:asciiTheme="majorHAnsi" w:hAnsiTheme="majorHAnsi" w:cstheme="majorHAnsi"/>
                <w:color w:val="3B3838" w:themeColor="background2" w:themeShade="40"/>
                <w:sz w:val="24"/>
                <w:szCs w:val="24"/>
              </w:rPr>
              <w:t xml:space="preserve">Patient Safety </w:t>
            </w:r>
            <w:r w:rsidR="000C51BD" w:rsidRPr="004B3C05">
              <w:rPr>
                <w:rFonts w:asciiTheme="majorHAnsi" w:hAnsiTheme="majorHAnsi" w:cstheme="majorHAnsi"/>
                <w:color w:val="3B3838" w:themeColor="background2" w:themeShade="40"/>
                <w:sz w:val="24"/>
                <w:szCs w:val="24"/>
              </w:rPr>
              <w:t>Incident Response</w:t>
            </w:r>
            <w:r w:rsidR="00E04903" w:rsidRPr="004B3C05">
              <w:rPr>
                <w:rFonts w:asciiTheme="majorHAnsi" w:hAnsiTheme="majorHAnsi" w:cstheme="majorHAnsi"/>
                <w:color w:val="3B3838" w:themeColor="background2" w:themeShade="40"/>
                <w:sz w:val="24"/>
                <w:szCs w:val="24"/>
              </w:rPr>
              <w:t xml:space="preserve"> Framework (PSIRF)</w:t>
            </w:r>
            <w:r w:rsidR="000C51BD" w:rsidRPr="004B3C05">
              <w:rPr>
                <w:rFonts w:asciiTheme="majorHAnsi" w:hAnsiTheme="majorHAnsi" w:cstheme="majorHAnsi"/>
                <w:color w:val="3B3838" w:themeColor="background2" w:themeShade="40"/>
                <w:sz w:val="24"/>
                <w:szCs w:val="24"/>
              </w:rPr>
              <w:t xml:space="preserve"> Policy</w:t>
            </w:r>
          </w:p>
        </w:tc>
      </w:tr>
      <w:tr w:rsidR="00074EAB" w:rsidRPr="00BF0914" w14:paraId="10C6FC2A" w14:textId="77777777" w:rsidTr="00162DCE">
        <w:trPr>
          <w:trHeight w:val="255"/>
        </w:trPr>
        <w:tc>
          <w:tcPr>
            <w:tcW w:w="2835" w:type="dxa"/>
            <w:shd w:val="clear" w:color="auto" w:fill="008385"/>
            <w:noWrap/>
            <w:vAlign w:val="center"/>
          </w:tcPr>
          <w:p w14:paraId="4CA4CC08" w14:textId="77777777" w:rsidR="00074EAB" w:rsidRPr="00BF0914" w:rsidRDefault="00074EAB" w:rsidP="004E7C88">
            <w:pPr>
              <w:jc w:val="right"/>
              <w:rPr>
                <w:rFonts w:asciiTheme="majorHAnsi" w:hAnsiTheme="majorHAnsi" w:cstheme="majorHAnsi"/>
                <w:color w:val="FFFFFF" w:themeColor="background1"/>
              </w:rPr>
            </w:pPr>
            <w:r w:rsidRPr="00BF0914">
              <w:rPr>
                <w:rFonts w:asciiTheme="majorHAnsi" w:hAnsiTheme="majorHAnsi" w:cstheme="majorHAnsi"/>
                <w:color w:val="FFFFFF" w:themeColor="background1"/>
              </w:rPr>
              <w:t>Directorate:</w:t>
            </w:r>
          </w:p>
        </w:tc>
        <w:tc>
          <w:tcPr>
            <w:tcW w:w="6946" w:type="dxa"/>
            <w:vAlign w:val="center"/>
          </w:tcPr>
          <w:p w14:paraId="693426F2" w14:textId="65F437F5" w:rsidR="00074EAB" w:rsidRPr="00BF0914" w:rsidRDefault="00403951" w:rsidP="004E7C88">
            <w:pPr>
              <w:ind w:left="94"/>
              <w:rPr>
                <w:rFonts w:asciiTheme="majorHAnsi" w:hAnsiTheme="majorHAnsi" w:cstheme="majorHAnsi"/>
                <w:color w:val="3B3838" w:themeColor="background2" w:themeShade="40"/>
              </w:rPr>
            </w:pPr>
            <w:r w:rsidRPr="00BF0914">
              <w:rPr>
                <w:rFonts w:ascii="Segoe UI Symbol" w:eastAsia="MS Gothic" w:hAnsi="Segoe UI Symbol" w:cs="Segoe UI Symbol"/>
                <w:b/>
                <w:color w:val="767171" w:themeColor="background2" w:themeShade="80"/>
              </w:rPr>
              <w:t>☒</w:t>
            </w:r>
            <w:r w:rsidRPr="00BF0914">
              <w:rPr>
                <w:rFonts w:asciiTheme="majorHAnsi" w:hAnsiTheme="majorHAnsi" w:cstheme="majorHAnsi"/>
                <w:color w:val="3B3838" w:themeColor="background2" w:themeShade="40"/>
              </w:rPr>
              <w:t xml:space="preserve">  </w:t>
            </w:r>
            <w:r w:rsidR="00CB423C" w:rsidRPr="00BF0914">
              <w:rPr>
                <w:rFonts w:asciiTheme="majorHAnsi" w:hAnsiTheme="majorHAnsi" w:cstheme="majorHAnsi"/>
                <w:color w:val="3B3838" w:themeColor="background2" w:themeShade="40"/>
              </w:rPr>
              <w:t xml:space="preserve">Clinical </w:t>
            </w:r>
            <w:r w:rsidR="001A46AA" w:rsidRPr="00BF0914">
              <w:rPr>
                <w:rFonts w:ascii="Segoe UI Symbol" w:eastAsia="MS Gothic" w:hAnsi="Segoe UI Symbol" w:cs="Segoe UI Symbol"/>
                <w:color w:val="3B3838" w:themeColor="background2" w:themeShade="40"/>
              </w:rPr>
              <w:t>☐</w:t>
            </w:r>
            <w:r w:rsidR="00CB423C" w:rsidRPr="00BF0914">
              <w:rPr>
                <w:rFonts w:asciiTheme="majorHAnsi" w:hAnsiTheme="majorHAnsi" w:cstheme="majorHAnsi"/>
                <w:color w:val="3B3838" w:themeColor="background2" w:themeShade="40"/>
              </w:rPr>
              <w:t xml:space="preserve"> Medical</w:t>
            </w:r>
            <w:r w:rsidR="00A220A9" w:rsidRPr="00BF0914">
              <w:rPr>
                <w:rFonts w:asciiTheme="majorHAnsi" w:hAnsiTheme="majorHAnsi" w:cstheme="majorHAnsi"/>
                <w:color w:val="3B3838" w:themeColor="background2" w:themeShade="40"/>
              </w:rPr>
              <w:t xml:space="preserve"> </w:t>
            </w:r>
            <w:r w:rsidR="001A46AA" w:rsidRPr="00BF0914">
              <w:rPr>
                <w:rFonts w:ascii="Segoe UI Symbol" w:eastAsia="MS Gothic" w:hAnsi="Segoe UI Symbol" w:cs="Segoe UI Symbol"/>
                <w:b/>
                <w:color w:val="767171" w:themeColor="background2" w:themeShade="80"/>
              </w:rPr>
              <w:t>☒</w:t>
            </w:r>
            <w:r w:rsidR="00A220A9" w:rsidRPr="00BF0914">
              <w:rPr>
                <w:rFonts w:asciiTheme="majorHAnsi" w:hAnsiTheme="majorHAnsi" w:cstheme="majorHAnsi"/>
                <w:color w:val="3B3838" w:themeColor="background2" w:themeShade="40"/>
              </w:rPr>
              <w:t xml:space="preserve"> </w:t>
            </w:r>
            <w:r w:rsidR="00CB423C" w:rsidRPr="00BF0914">
              <w:rPr>
                <w:rFonts w:asciiTheme="majorHAnsi" w:hAnsiTheme="majorHAnsi" w:cstheme="majorHAnsi"/>
                <w:color w:val="3B3838" w:themeColor="background2" w:themeShade="40"/>
              </w:rPr>
              <w:t xml:space="preserve"> </w:t>
            </w:r>
            <w:r w:rsidR="00A220A9" w:rsidRPr="00BF0914">
              <w:rPr>
                <w:rFonts w:asciiTheme="majorHAnsi" w:hAnsiTheme="majorHAnsi" w:cstheme="majorHAnsi"/>
                <w:color w:val="3B3838" w:themeColor="background2" w:themeShade="40"/>
              </w:rPr>
              <w:t xml:space="preserve">Operations   </w:t>
            </w:r>
            <w:r w:rsidR="00A220A9" w:rsidRPr="00BF0914">
              <w:rPr>
                <w:rFonts w:ascii="Segoe UI Symbol" w:eastAsia="MS Gothic" w:hAnsi="Segoe UI Symbol" w:cs="Segoe UI Symbol"/>
                <w:color w:val="3B3838" w:themeColor="background2" w:themeShade="40"/>
              </w:rPr>
              <w:t>☐</w:t>
            </w:r>
            <w:r w:rsidR="00CB423C" w:rsidRPr="00BF0914">
              <w:rPr>
                <w:rFonts w:asciiTheme="majorHAnsi" w:hAnsiTheme="majorHAnsi" w:cstheme="majorHAnsi"/>
                <w:color w:val="3B3838" w:themeColor="background2" w:themeShade="40"/>
              </w:rPr>
              <w:t xml:space="preserve"> </w:t>
            </w:r>
            <w:r w:rsidR="00A220A9" w:rsidRPr="00BF0914">
              <w:rPr>
                <w:rFonts w:asciiTheme="majorHAnsi" w:hAnsiTheme="majorHAnsi" w:cstheme="majorHAnsi"/>
                <w:color w:val="3B3838" w:themeColor="background2" w:themeShade="40"/>
              </w:rPr>
              <w:t xml:space="preserve">Finance   </w:t>
            </w:r>
            <w:r w:rsidR="00A220A9" w:rsidRPr="00BF0914">
              <w:rPr>
                <w:rFonts w:ascii="Segoe UI Symbol" w:eastAsia="MS Gothic" w:hAnsi="Segoe UI Symbol" w:cs="Segoe UI Symbol"/>
                <w:color w:val="3B3838" w:themeColor="background2" w:themeShade="40"/>
              </w:rPr>
              <w:t>☐</w:t>
            </w:r>
            <w:r w:rsidR="00CB423C" w:rsidRPr="00BF0914">
              <w:rPr>
                <w:rFonts w:asciiTheme="majorHAnsi" w:hAnsiTheme="majorHAnsi" w:cstheme="majorHAnsi"/>
                <w:color w:val="3B3838" w:themeColor="background2" w:themeShade="40"/>
              </w:rPr>
              <w:t xml:space="preserve"> </w:t>
            </w:r>
            <w:r w:rsidR="00A220A9" w:rsidRPr="00BF0914">
              <w:rPr>
                <w:rFonts w:asciiTheme="majorHAnsi" w:hAnsiTheme="majorHAnsi" w:cstheme="majorHAnsi"/>
                <w:color w:val="3B3838" w:themeColor="background2" w:themeShade="40"/>
              </w:rPr>
              <w:t xml:space="preserve">HR   </w:t>
            </w:r>
            <w:r w:rsidR="00A220A9" w:rsidRPr="00BF0914">
              <w:rPr>
                <w:rFonts w:ascii="Segoe UI Symbol" w:eastAsia="MS Gothic" w:hAnsi="Segoe UI Symbol" w:cs="Segoe UI Symbol"/>
                <w:color w:val="3B3838" w:themeColor="background2" w:themeShade="40"/>
              </w:rPr>
              <w:t>☐</w:t>
            </w:r>
            <w:r w:rsidR="00A220A9" w:rsidRPr="00BF0914">
              <w:rPr>
                <w:rFonts w:asciiTheme="majorHAnsi" w:hAnsiTheme="majorHAnsi" w:cstheme="majorHAnsi"/>
                <w:color w:val="3B3838" w:themeColor="background2" w:themeShade="40"/>
              </w:rPr>
              <w:t xml:space="preserve"> Legal </w:t>
            </w:r>
          </w:p>
        </w:tc>
      </w:tr>
      <w:tr w:rsidR="00074EAB" w:rsidRPr="00BF0914" w14:paraId="409A3AC7" w14:textId="77777777" w:rsidTr="00162DCE">
        <w:trPr>
          <w:trHeight w:val="255"/>
        </w:trPr>
        <w:tc>
          <w:tcPr>
            <w:tcW w:w="2835" w:type="dxa"/>
            <w:shd w:val="clear" w:color="auto" w:fill="008385"/>
            <w:noWrap/>
            <w:vAlign w:val="center"/>
          </w:tcPr>
          <w:p w14:paraId="3CC4A077" w14:textId="77777777" w:rsidR="00074EAB" w:rsidRPr="00BF0914" w:rsidRDefault="00162DCE" w:rsidP="004E7C88">
            <w:pPr>
              <w:jc w:val="right"/>
              <w:rPr>
                <w:rFonts w:asciiTheme="majorHAnsi" w:hAnsiTheme="majorHAnsi" w:cstheme="majorHAnsi"/>
                <w:color w:val="FFFFFF" w:themeColor="background1"/>
              </w:rPr>
            </w:pPr>
            <w:r w:rsidRPr="00BF0914">
              <w:rPr>
                <w:rFonts w:asciiTheme="majorHAnsi" w:hAnsiTheme="majorHAnsi" w:cstheme="majorHAnsi"/>
                <w:color w:val="FFFFFF" w:themeColor="background1"/>
              </w:rPr>
              <w:t xml:space="preserve">Owning </w:t>
            </w:r>
            <w:r w:rsidR="00074EAB" w:rsidRPr="00BF0914">
              <w:rPr>
                <w:rFonts w:asciiTheme="majorHAnsi" w:hAnsiTheme="majorHAnsi" w:cstheme="majorHAnsi"/>
                <w:color w:val="FFFFFF" w:themeColor="background1"/>
              </w:rPr>
              <w:t>Committee:</w:t>
            </w:r>
          </w:p>
        </w:tc>
        <w:tc>
          <w:tcPr>
            <w:tcW w:w="6946" w:type="dxa"/>
            <w:vAlign w:val="center"/>
          </w:tcPr>
          <w:p w14:paraId="5E4CBA76" w14:textId="1EA04CD2" w:rsidR="00074EAB" w:rsidRPr="00BF0914" w:rsidRDefault="0030389D" w:rsidP="004E7C88">
            <w:pPr>
              <w:ind w:left="94"/>
              <w:rPr>
                <w:rFonts w:asciiTheme="majorHAnsi" w:hAnsiTheme="majorHAnsi" w:cstheme="majorHAnsi"/>
                <w:color w:val="3B3838" w:themeColor="background2" w:themeShade="40"/>
              </w:rPr>
            </w:pPr>
            <w:r>
              <w:rPr>
                <w:rFonts w:asciiTheme="majorHAnsi" w:hAnsiTheme="majorHAnsi" w:cstheme="majorHAnsi"/>
                <w:color w:val="3B3838" w:themeColor="background2" w:themeShade="40"/>
              </w:rPr>
              <w:t xml:space="preserve">Operational </w:t>
            </w:r>
            <w:r w:rsidR="00992DAC">
              <w:rPr>
                <w:rFonts w:asciiTheme="majorHAnsi" w:hAnsiTheme="majorHAnsi" w:cstheme="majorHAnsi"/>
                <w:color w:val="3B3838" w:themeColor="background2" w:themeShade="40"/>
              </w:rPr>
              <w:t xml:space="preserve">SQR </w:t>
            </w:r>
            <w:r w:rsidR="00525515">
              <w:rPr>
                <w:rFonts w:asciiTheme="majorHAnsi" w:hAnsiTheme="majorHAnsi" w:cstheme="majorHAnsi"/>
                <w:color w:val="3B3838" w:themeColor="background2" w:themeShade="40"/>
              </w:rPr>
              <w:t>Committee</w:t>
            </w:r>
          </w:p>
        </w:tc>
      </w:tr>
      <w:tr w:rsidR="00074EAB" w:rsidRPr="00BF0914" w14:paraId="00D24000" w14:textId="77777777" w:rsidTr="00162DCE">
        <w:trPr>
          <w:trHeight w:val="255"/>
        </w:trPr>
        <w:tc>
          <w:tcPr>
            <w:tcW w:w="2835" w:type="dxa"/>
            <w:shd w:val="clear" w:color="auto" w:fill="008385"/>
            <w:noWrap/>
            <w:vAlign w:val="center"/>
          </w:tcPr>
          <w:p w14:paraId="77CDAC12" w14:textId="77777777" w:rsidR="00074EAB" w:rsidRPr="00BF0914" w:rsidRDefault="00074EAB" w:rsidP="004E7C88">
            <w:pPr>
              <w:jc w:val="right"/>
              <w:rPr>
                <w:rFonts w:asciiTheme="majorHAnsi" w:hAnsiTheme="majorHAnsi" w:cstheme="majorHAnsi"/>
                <w:color w:val="FFFFFF" w:themeColor="background1"/>
              </w:rPr>
            </w:pPr>
            <w:r w:rsidRPr="00BF0914">
              <w:rPr>
                <w:rFonts w:asciiTheme="majorHAnsi" w:hAnsiTheme="majorHAnsi" w:cstheme="majorHAnsi"/>
                <w:color w:val="FFFFFF" w:themeColor="background1"/>
              </w:rPr>
              <w:t>Author Name:</w:t>
            </w:r>
          </w:p>
        </w:tc>
        <w:tc>
          <w:tcPr>
            <w:tcW w:w="6946" w:type="dxa"/>
            <w:vAlign w:val="center"/>
          </w:tcPr>
          <w:p w14:paraId="284F2F31" w14:textId="46B4BC15" w:rsidR="00074EAB" w:rsidRPr="00BF0914" w:rsidRDefault="00AA0D6B" w:rsidP="001923F1">
            <w:pPr>
              <w:ind w:left="94"/>
              <w:rPr>
                <w:rFonts w:asciiTheme="majorHAnsi" w:hAnsiTheme="majorHAnsi" w:cstheme="majorHAnsi"/>
                <w:color w:val="3B3838" w:themeColor="background2" w:themeShade="40"/>
              </w:rPr>
            </w:pPr>
            <w:r>
              <w:rPr>
                <w:rFonts w:asciiTheme="majorHAnsi" w:hAnsiTheme="majorHAnsi" w:cstheme="majorHAnsi"/>
                <w:color w:val="3B3838" w:themeColor="background2" w:themeShade="40"/>
              </w:rPr>
              <w:t>Matthew Minter/</w:t>
            </w:r>
            <w:r w:rsidR="001A46AA">
              <w:rPr>
                <w:rFonts w:asciiTheme="majorHAnsi" w:hAnsiTheme="majorHAnsi" w:cstheme="majorHAnsi"/>
                <w:color w:val="3B3838" w:themeColor="background2" w:themeShade="40"/>
              </w:rPr>
              <w:t xml:space="preserve"> </w:t>
            </w:r>
            <w:r>
              <w:rPr>
                <w:rFonts w:asciiTheme="majorHAnsi" w:hAnsiTheme="majorHAnsi" w:cstheme="majorHAnsi"/>
                <w:color w:val="3B3838" w:themeColor="background2" w:themeShade="40"/>
              </w:rPr>
              <w:t>Tracey Thacker</w:t>
            </w:r>
          </w:p>
        </w:tc>
      </w:tr>
      <w:tr w:rsidR="00074EAB" w:rsidRPr="00BF0914" w14:paraId="169951BC" w14:textId="77777777" w:rsidTr="00162DCE">
        <w:trPr>
          <w:trHeight w:val="255"/>
        </w:trPr>
        <w:tc>
          <w:tcPr>
            <w:tcW w:w="2835" w:type="dxa"/>
            <w:shd w:val="clear" w:color="auto" w:fill="008385"/>
            <w:noWrap/>
            <w:vAlign w:val="center"/>
          </w:tcPr>
          <w:p w14:paraId="1CEDE145" w14:textId="77777777" w:rsidR="00074EAB" w:rsidRPr="00BF0914" w:rsidRDefault="00074EAB" w:rsidP="004E7C88">
            <w:pPr>
              <w:jc w:val="right"/>
              <w:rPr>
                <w:rFonts w:asciiTheme="majorHAnsi" w:hAnsiTheme="majorHAnsi" w:cstheme="majorHAnsi"/>
                <w:color w:val="FFFFFF" w:themeColor="background1"/>
              </w:rPr>
            </w:pPr>
            <w:r w:rsidRPr="00BF0914">
              <w:rPr>
                <w:rFonts w:asciiTheme="majorHAnsi" w:hAnsiTheme="majorHAnsi" w:cstheme="majorHAnsi"/>
                <w:color w:val="FFFFFF" w:themeColor="background1"/>
              </w:rPr>
              <w:t>Author Job Title:</w:t>
            </w:r>
          </w:p>
        </w:tc>
        <w:tc>
          <w:tcPr>
            <w:tcW w:w="6946" w:type="dxa"/>
            <w:vAlign w:val="center"/>
          </w:tcPr>
          <w:p w14:paraId="6CE7E06B" w14:textId="7C510969" w:rsidR="00074EAB" w:rsidRPr="00BF0914" w:rsidRDefault="00E82983" w:rsidP="001923F1">
            <w:pPr>
              <w:ind w:left="94"/>
              <w:rPr>
                <w:rFonts w:asciiTheme="majorHAnsi" w:hAnsiTheme="majorHAnsi" w:cstheme="majorHAnsi"/>
                <w:color w:val="3B3838" w:themeColor="background2" w:themeShade="40"/>
              </w:rPr>
            </w:pPr>
            <w:r w:rsidRPr="0090210B">
              <w:rPr>
                <w:rFonts w:asciiTheme="majorHAnsi" w:hAnsiTheme="majorHAnsi" w:cstheme="majorHAnsi"/>
                <w:color w:val="3B3838" w:themeColor="background2" w:themeShade="40"/>
              </w:rPr>
              <w:t>National Integrated Quality Governance Programme Lead – PSIRF/</w:t>
            </w:r>
            <w:r w:rsidR="00F26063" w:rsidRPr="0090210B">
              <w:rPr>
                <w:rFonts w:asciiTheme="majorHAnsi" w:hAnsiTheme="majorHAnsi" w:cstheme="majorHAnsi"/>
                <w:color w:val="3B3838" w:themeColor="background2" w:themeShade="40"/>
              </w:rPr>
              <w:t>National Deputy Director of Integrated Quality Governance</w:t>
            </w:r>
            <w:r w:rsidR="00F26063">
              <w:rPr>
                <w:rFonts w:ascii="Arial" w:hAnsi="Arial" w:cs="Arial"/>
                <w:b/>
                <w:bCs/>
                <w:color w:val="4A4A4A"/>
                <w:sz w:val="18"/>
                <w:szCs w:val="18"/>
                <w:lang w:val="en-US"/>
              </w:rPr>
              <w:t> </w:t>
            </w:r>
          </w:p>
        </w:tc>
      </w:tr>
      <w:tr w:rsidR="00A40DA4" w:rsidRPr="00BF0914" w14:paraId="13B3BEC2" w14:textId="77777777" w:rsidTr="00162DCE">
        <w:trPr>
          <w:trHeight w:val="255"/>
        </w:trPr>
        <w:tc>
          <w:tcPr>
            <w:tcW w:w="2835" w:type="dxa"/>
            <w:shd w:val="clear" w:color="auto" w:fill="008385"/>
            <w:noWrap/>
            <w:vAlign w:val="center"/>
          </w:tcPr>
          <w:p w14:paraId="12E167E6" w14:textId="77777777" w:rsidR="00A40DA4" w:rsidRPr="00BF0914" w:rsidRDefault="00A40DA4" w:rsidP="00A40DA4">
            <w:pPr>
              <w:jc w:val="right"/>
              <w:rPr>
                <w:rFonts w:asciiTheme="majorHAnsi" w:hAnsiTheme="majorHAnsi" w:cstheme="majorHAnsi"/>
                <w:color w:val="FFFFFF" w:themeColor="background1"/>
              </w:rPr>
            </w:pPr>
            <w:r w:rsidRPr="00BF0914">
              <w:rPr>
                <w:rFonts w:asciiTheme="majorHAnsi" w:hAnsiTheme="majorHAnsi" w:cstheme="majorHAnsi"/>
                <w:color w:val="FFFFFF" w:themeColor="background1"/>
              </w:rPr>
              <w:t>Issue Number:</w:t>
            </w:r>
          </w:p>
        </w:tc>
        <w:tc>
          <w:tcPr>
            <w:tcW w:w="6946" w:type="dxa"/>
            <w:vAlign w:val="center"/>
          </w:tcPr>
          <w:p w14:paraId="6C5BAAC8" w14:textId="311CFA96" w:rsidR="00A40DA4" w:rsidRPr="00BF0914" w:rsidRDefault="00AA0D6B" w:rsidP="001923F1">
            <w:pPr>
              <w:ind w:left="94"/>
              <w:rPr>
                <w:rFonts w:asciiTheme="majorHAnsi" w:hAnsiTheme="majorHAnsi" w:cstheme="majorHAnsi"/>
                <w:color w:val="3B3838" w:themeColor="background2" w:themeShade="40"/>
                <w:highlight w:val="yellow"/>
              </w:rPr>
            </w:pPr>
            <w:r w:rsidRPr="00525515">
              <w:rPr>
                <w:rFonts w:asciiTheme="majorHAnsi" w:hAnsiTheme="majorHAnsi" w:cstheme="majorHAnsi"/>
                <w:color w:val="3B3838" w:themeColor="background2" w:themeShade="40"/>
              </w:rPr>
              <w:t>1</w:t>
            </w:r>
          </w:p>
        </w:tc>
      </w:tr>
      <w:tr w:rsidR="00A40DA4" w:rsidRPr="00BF0914" w14:paraId="0FC6767C" w14:textId="77777777" w:rsidTr="00162DCE">
        <w:trPr>
          <w:trHeight w:val="255"/>
        </w:trPr>
        <w:tc>
          <w:tcPr>
            <w:tcW w:w="2835" w:type="dxa"/>
            <w:shd w:val="clear" w:color="auto" w:fill="008385"/>
            <w:noWrap/>
            <w:vAlign w:val="center"/>
          </w:tcPr>
          <w:p w14:paraId="71A9D4F1" w14:textId="77777777" w:rsidR="00A40DA4" w:rsidRPr="00BF0914" w:rsidRDefault="00A40DA4" w:rsidP="00A40DA4">
            <w:pPr>
              <w:jc w:val="right"/>
              <w:rPr>
                <w:rFonts w:asciiTheme="majorHAnsi" w:hAnsiTheme="majorHAnsi" w:cstheme="majorHAnsi"/>
                <w:color w:val="FFFFFF" w:themeColor="background1"/>
              </w:rPr>
            </w:pPr>
            <w:r w:rsidRPr="00BF0914">
              <w:rPr>
                <w:rFonts w:asciiTheme="majorHAnsi" w:hAnsiTheme="majorHAnsi" w:cstheme="majorHAnsi"/>
                <w:color w:val="FFFFFF" w:themeColor="background1"/>
              </w:rPr>
              <w:t>Issue Date:</w:t>
            </w:r>
          </w:p>
        </w:tc>
        <w:tc>
          <w:tcPr>
            <w:tcW w:w="6946" w:type="dxa"/>
            <w:vAlign w:val="center"/>
          </w:tcPr>
          <w:p w14:paraId="1B5B11CC" w14:textId="3494E8B9" w:rsidR="00A40DA4" w:rsidRPr="00BF0914" w:rsidRDefault="00C84612" w:rsidP="001923F1">
            <w:pPr>
              <w:ind w:left="94"/>
              <w:rPr>
                <w:rFonts w:asciiTheme="majorHAnsi" w:hAnsiTheme="majorHAnsi" w:cstheme="majorHAnsi"/>
                <w:color w:val="3B3838" w:themeColor="background2" w:themeShade="40"/>
                <w:highlight w:val="yellow"/>
              </w:rPr>
            </w:pPr>
            <w:r w:rsidRPr="00DD01AE">
              <w:rPr>
                <w:rFonts w:asciiTheme="majorHAnsi" w:hAnsiTheme="majorHAnsi" w:cstheme="majorHAnsi"/>
                <w:color w:val="3B3838" w:themeColor="background2" w:themeShade="40"/>
              </w:rPr>
              <w:t>March 2024</w:t>
            </w:r>
          </w:p>
        </w:tc>
      </w:tr>
      <w:tr w:rsidR="00A40DA4" w:rsidRPr="00BF0914" w14:paraId="53B4F313" w14:textId="77777777" w:rsidTr="00162DCE">
        <w:trPr>
          <w:trHeight w:val="255"/>
        </w:trPr>
        <w:tc>
          <w:tcPr>
            <w:tcW w:w="2835" w:type="dxa"/>
            <w:shd w:val="clear" w:color="auto" w:fill="008385"/>
            <w:noWrap/>
            <w:vAlign w:val="center"/>
          </w:tcPr>
          <w:p w14:paraId="4BBC2F70" w14:textId="77777777" w:rsidR="00A40DA4" w:rsidRPr="00BF0914" w:rsidRDefault="00162DCE" w:rsidP="00A40DA4">
            <w:pPr>
              <w:jc w:val="right"/>
              <w:rPr>
                <w:rFonts w:asciiTheme="majorHAnsi" w:hAnsiTheme="majorHAnsi" w:cstheme="majorHAnsi"/>
                <w:color w:val="FFFFFF" w:themeColor="background1"/>
              </w:rPr>
            </w:pPr>
            <w:r w:rsidRPr="00BF0914">
              <w:rPr>
                <w:rFonts w:asciiTheme="majorHAnsi" w:hAnsiTheme="majorHAnsi" w:cstheme="majorHAnsi"/>
                <w:color w:val="FFFFFF" w:themeColor="background1"/>
              </w:rPr>
              <w:t>Next R</w:t>
            </w:r>
            <w:r w:rsidR="00A40DA4" w:rsidRPr="00BF0914">
              <w:rPr>
                <w:rFonts w:asciiTheme="majorHAnsi" w:hAnsiTheme="majorHAnsi" w:cstheme="majorHAnsi"/>
                <w:color w:val="FFFFFF" w:themeColor="background1"/>
              </w:rPr>
              <w:t>eview Date:</w:t>
            </w:r>
          </w:p>
        </w:tc>
        <w:tc>
          <w:tcPr>
            <w:tcW w:w="6946" w:type="dxa"/>
            <w:vAlign w:val="center"/>
          </w:tcPr>
          <w:p w14:paraId="0D74C4F7" w14:textId="7FDB59F8" w:rsidR="00A40DA4" w:rsidRPr="00BF0914" w:rsidRDefault="00C84612" w:rsidP="001923F1">
            <w:pPr>
              <w:ind w:left="94"/>
              <w:rPr>
                <w:rFonts w:asciiTheme="majorHAnsi" w:hAnsiTheme="majorHAnsi" w:cstheme="majorHAnsi"/>
                <w:color w:val="3B3838" w:themeColor="background2" w:themeShade="40"/>
                <w:highlight w:val="yellow"/>
              </w:rPr>
            </w:pPr>
            <w:r w:rsidRPr="00DD01AE">
              <w:rPr>
                <w:rFonts w:asciiTheme="majorHAnsi" w:hAnsiTheme="majorHAnsi" w:cstheme="majorHAnsi"/>
                <w:color w:val="3B3838" w:themeColor="background2" w:themeShade="40"/>
              </w:rPr>
              <w:t>March 2027</w:t>
            </w:r>
          </w:p>
        </w:tc>
      </w:tr>
    </w:tbl>
    <w:p w14:paraId="5FDDF458" w14:textId="77777777" w:rsidR="00074EAB" w:rsidRPr="00BF0914" w:rsidRDefault="00074EAB" w:rsidP="00074EAB">
      <w:pPr>
        <w:spacing w:after="0"/>
        <w:rPr>
          <w:rFonts w:asciiTheme="majorHAnsi" w:hAnsiTheme="majorHAnsi" w:cstheme="majorHAnsi"/>
        </w:rPr>
      </w:pPr>
    </w:p>
    <w:p w14:paraId="60F3C901" w14:textId="77777777" w:rsidR="00074EAB" w:rsidRPr="00BF0914" w:rsidRDefault="00074EAB" w:rsidP="00074EAB">
      <w:pPr>
        <w:spacing w:after="0"/>
        <w:rPr>
          <w:rFonts w:asciiTheme="majorHAnsi" w:hAnsiTheme="majorHAnsi" w:cstheme="majorHAnsi"/>
        </w:rPr>
      </w:pPr>
    </w:p>
    <w:tbl>
      <w:tblPr>
        <w:tblW w:w="9947"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844"/>
        <w:gridCol w:w="1276"/>
        <w:gridCol w:w="425"/>
        <w:gridCol w:w="1276"/>
        <w:gridCol w:w="425"/>
        <w:gridCol w:w="1276"/>
        <w:gridCol w:w="425"/>
      </w:tblGrid>
      <w:tr w:rsidR="00B260F1" w:rsidRPr="00BF0914" w14:paraId="12464B76" w14:textId="77777777" w:rsidTr="007F2235">
        <w:trPr>
          <w:trHeight w:val="454"/>
        </w:trPr>
        <w:tc>
          <w:tcPr>
            <w:tcW w:w="4844" w:type="dxa"/>
            <w:tcBorders>
              <w:top w:val="single" w:sz="8" w:space="0" w:color="008385"/>
              <w:left w:val="single" w:sz="8" w:space="0" w:color="008385"/>
              <w:bottom w:val="single" w:sz="8" w:space="0" w:color="008385"/>
              <w:right w:val="single" w:sz="8" w:space="0" w:color="008385"/>
            </w:tcBorders>
            <w:shd w:val="clear" w:color="auto" w:fill="F2F2F2"/>
            <w:vAlign w:val="center"/>
          </w:tcPr>
          <w:p w14:paraId="037320EE" w14:textId="77777777" w:rsidR="004878AE" w:rsidRPr="00BF0914" w:rsidRDefault="004878AE" w:rsidP="004878AE">
            <w:pPr>
              <w:spacing w:before="60" w:after="40" w:line="240" w:lineRule="atLeast"/>
              <w:rPr>
                <w:rFonts w:asciiTheme="majorHAnsi" w:eastAsia="Calibri" w:hAnsiTheme="majorHAnsi" w:cstheme="majorHAnsi"/>
                <w:b/>
                <w:color w:val="767171" w:themeColor="background2" w:themeShade="80"/>
              </w:rPr>
            </w:pPr>
            <w:r w:rsidRPr="00BF0914">
              <w:rPr>
                <w:rFonts w:asciiTheme="majorHAnsi" w:eastAsia="Calibri" w:hAnsiTheme="majorHAnsi" w:cstheme="majorHAnsi"/>
                <w:b/>
                <w:color w:val="767171" w:themeColor="background2" w:themeShade="80"/>
              </w:rPr>
              <w:t xml:space="preserve">Complies with all regulations in </w:t>
            </w:r>
            <w:r w:rsidR="009F0FBE" w:rsidRPr="00BF0914">
              <w:rPr>
                <w:rFonts w:asciiTheme="majorHAnsi" w:eastAsia="Calibri" w:hAnsiTheme="majorHAnsi" w:cstheme="majorHAnsi"/>
                <w:color w:val="767171" w:themeColor="background2" w:themeShade="80"/>
              </w:rPr>
              <w:t>(please check</w:t>
            </w:r>
            <w:r w:rsidRPr="00BF0914">
              <w:rPr>
                <w:rFonts w:asciiTheme="majorHAnsi" w:eastAsia="Calibri" w:hAnsiTheme="majorHAnsi" w:cstheme="majorHAnsi"/>
                <w:color w:val="767171" w:themeColor="background2" w:themeShade="80"/>
              </w:rPr>
              <w:t>)</w:t>
            </w:r>
          </w:p>
        </w:tc>
        <w:tc>
          <w:tcPr>
            <w:tcW w:w="1276" w:type="dxa"/>
            <w:tcBorders>
              <w:top w:val="single" w:sz="8" w:space="0" w:color="008385"/>
              <w:left w:val="single" w:sz="8" w:space="0" w:color="008385"/>
              <w:bottom w:val="single" w:sz="8" w:space="0" w:color="008385"/>
              <w:right w:val="single" w:sz="8" w:space="0" w:color="008385"/>
            </w:tcBorders>
            <w:shd w:val="clear" w:color="auto" w:fill="auto"/>
            <w:vAlign w:val="center"/>
          </w:tcPr>
          <w:p w14:paraId="72C2FDB6" w14:textId="77777777" w:rsidR="004878AE" w:rsidRPr="00BF0914" w:rsidRDefault="004878AE" w:rsidP="004878AE">
            <w:pPr>
              <w:spacing w:before="60" w:after="40" w:line="240" w:lineRule="atLeast"/>
              <w:rPr>
                <w:rFonts w:asciiTheme="majorHAnsi" w:eastAsia="Calibri" w:hAnsiTheme="majorHAnsi" w:cstheme="majorHAnsi"/>
                <w:color w:val="767171" w:themeColor="background2" w:themeShade="80"/>
              </w:rPr>
            </w:pPr>
            <w:r w:rsidRPr="00BF0914">
              <w:rPr>
                <w:rFonts w:asciiTheme="majorHAnsi" w:eastAsia="Calibri" w:hAnsiTheme="majorHAnsi" w:cstheme="majorHAnsi"/>
                <w:color w:val="767171" w:themeColor="background2" w:themeShade="80"/>
              </w:rPr>
              <w:t>England</w:t>
            </w:r>
          </w:p>
        </w:tc>
        <w:tc>
          <w:tcPr>
            <w:tcW w:w="425" w:type="dxa"/>
            <w:tcBorders>
              <w:top w:val="single" w:sz="8" w:space="0" w:color="008385"/>
              <w:left w:val="single" w:sz="8" w:space="0" w:color="008385"/>
              <w:bottom w:val="single" w:sz="8" w:space="0" w:color="008385"/>
              <w:right w:val="single" w:sz="8" w:space="0" w:color="008385"/>
            </w:tcBorders>
            <w:shd w:val="clear" w:color="auto" w:fill="F2F2F2"/>
            <w:vAlign w:val="center"/>
          </w:tcPr>
          <w:p w14:paraId="3D8C123F" w14:textId="023062A5" w:rsidR="004878AE" w:rsidRPr="00BF0914" w:rsidRDefault="001923F1" w:rsidP="004878AE">
            <w:pPr>
              <w:spacing w:before="60" w:after="40" w:line="240" w:lineRule="atLeast"/>
              <w:rPr>
                <w:rFonts w:asciiTheme="majorHAnsi" w:eastAsia="Calibri" w:hAnsiTheme="majorHAnsi" w:cstheme="majorHAnsi"/>
                <w:b/>
                <w:color w:val="767171" w:themeColor="background2" w:themeShade="80"/>
              </w:rPr>
            </w:pPr>
            <w:r w:rsidRPr="00BF0914">
              <w:rPr>
                <w:rFonts w:ascii="Segoe UI Symbol" w:eastAsia="MS Gothic" w:hAnsi="Segoe UI Symbol" w:cs="Segoe UI Symbol"/>
                <w:b/>
                <w:color w:val="767171" w:themeColor="background2" w:themeShade="80"/>
              </w:rPr>
              <w:t>☒</w:t>
            </w:r>
          </w:p>
        </w:tc>
        <w:tc>
          <w:tcPr>
            <w:tcW w:w="1276" w:type="dxa"/>
            <w:tcBorders>
              <w:top w:val="single" w:sz="8" w:space="0" w:color="008385"/>
              <w:left w:val="single" w:sz="8" w:space="0" w:color="008385"/>
              <w:bottom w:val="single" w:sz="8" w:space="0" w:color="008385"/>
              <w:right w:val="single" w:sz="8" w:space="0" w:color="008385"/>
            </w:tcBorders>
            <w:shd w:val="clear" w:color="auto" w:fill="auto"/>
            <w:vAlign w:val="center"/>
          </w:tcPr>
          <w:p w14:paraId="41A4E0B7" w14:textId="77777777" w:rsidR="004878AE" w:rsidRPr="00BF0914" w:rsidRDefault="004878AE" w:rsidP="004878AE">
            <w:pPr>
              <w:spacing w:before="60" w:after="40" w:line="240" w:lineRule="atLeast"/>
              <w:rPr>
                <w:rFonts w:asciiTheme="majorHAnsi" w:eastAsia="Calibri" w:hAnsiTheme="majorHAnsi" w:cstheme="majorHAnsi"/>
                <w:color w:val="767171" w:themeColor="background2" w:themeShade="80"/>
              </w:rPr>
            </w:pPr>
            <w:r w:rsidRPr="00BF0914">
              <w:rPr>
                <w:rFonts w:asciiTheme="majorHAnsi" w:eastAsia="Calibri" w:hAnsiTheme="majorHAnsi" w:cstheme="majorHAnsi"/>
                <w:color w:val="767171" w:themeColor="background2" w:themeShade="80"/>
              </w:rPr>
              <w:t>Scotland</w:t>
            </w:r>
          </w:p>
        </w:tc>
        <w:tc>
          <w:tcPr>
            <w:tcW w:w="425" w:type="dxa"/>
            <w:tcBorders>
              <w:top w:val="single" w:sz="8" w:space="0" w:color="008385"/>
              <w:left w:val="single" w:sz="8" w:space="0" w:color="008385"/>
              <w:bottom w:val="single" w:sz="8" w:space="0" w:color="008385"/>
              <w:right w:val="single" w:sz="8" w:space="0" w:color="008385"/>
            </w:tcBorders>
            <w:shd w:val="clear" w:color="auto" w:fill="F2F2F2"/>
            <w:vAlign w:val="center"/>
          </w:tcPr>
          <w:p w14:paraId="6D4DA08C" w14:textId="0E8B1D99" w:rsidR="004878AE" w:rsidRPr="00BF0914" w:rsidRDefault="001923F1" w:rsidP="004878AE">
            <w:pPr>
              <w:spacing w:before="60" w:after="40" w:line="240" w:lineRule="atLeast"/>
              <w:rPr>
                <w:rFonts w:asciiTheme="majorHAnsi" w:eastAsia="Calibri" w:hAnsiTheme="majorHAnsi" w:cstheme="majorHAnsi"/>
                <w:b/>
                <w:color w:val="767171" w:themeColor="background2" w:themeShade="80"/>
              </w:rPr>
            </w:pPr>
            <w:r w:rsidRPr="00BF0914">
              <w:rPr>
                <w:rFonts w:ascii="Segoe UI Symbol" w:eastAsia="MS Gothic" w:hAnsi="Segoe UI Symbol" w:cs="Segoe UI Symbol"/>
                <w:b/>
                <w:color w:val="767171" w:themeColor="background2" w:themeShade="80"/>
              </w:rPr>
              <w:t>☒</w:t>
            </w:r>
          </w:p>
        </w:tc>
        <w:tc>
          <w:tcPr>
            <w:tcW w:w="1276" w:type="dxa"/>
            <w:tcBorders>
              <w:top w:val="single" w:sz="8" w:space="0" w:color="008385"/>
              <w:left w:val="single" w:sz="8" w:space="0" w:color="008385"/>
              <w:bottom w:val="single" w:sz="8" w:space="0" w:color="008385"/>
              <w:right w:val="single" w:sz="8" w:space="0" w:color="008385"/>
            </w:tcBorders>
            <w:shd w:val="clear" w:color="auto" w:fill="auto"/>
            <w:vAlign w:val="center"/>
          </w:tcPr>
          <w:p w14:paraId="5615136B" w14:textId="77777777" w:rsidR="004878AE" w:rsidRPr="00BF0914" w:rsidRDefault="004878AE" w:rsidP="004878AE">
            <w:pPr>
              <w:spacing w:before="60" w:after="40" w:line="240" w:lineRule="atLeast"/>
              <w:rPr>
                <w:rFonts w:asciiTheme="majorHAnsi" w:eastAsia="Calibri" w:hAnsiTheme="majorHAnsi" w:cstheme="majorHAnsi"/>
                <w:color w:val="767171" w:themeColor="background2" w:themeShade="80"/>
              </w:rPr>
            </w:pPr>
            <w:r w:rsidRPr="00BF0914">
              <w:rPr>
                <w:rFonts w:asciiTheme="majorHAnsi" w:eastAsia="Calibri" w:hAnsiTheme="majorHAnsi" w:cstheme="majorHAnsi"/>
                <w:color w:val="767171" w:themeColor="background2" w:themeShade="80"/>
              </w:rPr>
              <w:t>Wales</w:t>
            </w:r>
          </w:p>
        </w:tc>
        <w:tc>
          <w:tcPr>
            <w:tcW w:w="425" w:type="dxa"/>
            <w:tcBorders>
              <w:top w:val="single" w:sz="8" w:space="0" w:color="008385"/>
              <w:left w:val="single" w:sz="8" w:space="0" w:color="008385"/>
              <w:bottom w:val="single" w:sz="8" w:space="0" w:color="008385"/>
              <w:right w:val="single" w:sz="8" w:space="0" w:color="008385"/>
            </w:tcBorders>
            <w:shd w:val="clear" w:color="auto" w:fill="F2F2F2"/>
            <w:vAlign w:val="center"/>
          </w:tcPr>
          <w:p w14:paraId="0196D3C1" w14:textId="2C005E22" w:rsidR="004878AE" w:rsidRPr="00BF0914" w:rsidRDefault="001923F1" w:rsidP="004878AE">
            <w:pPr>
              <w:spacing w:before="60" w:after="40" w:line="240" w:lineRule="atLeast"/>
              <w:rPr>
                <w:rFonts w:asciiTheme="majorHAnsi" w:eastAsia="Calibri" w:hAnsiTheme="majorHAnsi" w:cstheme="majorHAnsi"/>
                <w:b/>
                <w:color w:val="767171" w:themeColor="background2" w:themeShade="80"/>
              </w:rPr>
            </w:pPr>
            <w:r w:rsidRPr="00BF0914">
              <w:rPr>
                <w:rFonts w:ascii="Segoe UI Symbol" w:eastAsia="MS Gothic" w:hAnsi="Segoe UI Symbol" w:cs="Segoe UI Symbol"/>
                <w:b/>
                <w:color w:val="767171" w:themeColor="background2" w:themeShade="80"/>
              </w:rPr>
              <w:t>☒</w:t>
            </w:r>
          </w:p>
        </w:tc>
      </w:tr>
    </w:tbl>
    <w:p w14:paraId="2DC9B820" w14:textId="77777777" w:rsidR="00074EAB" w:rsidRPr="00BF0914" w:rsidRDefault="00074EAB" w:rsidP="00074EAB">
      <w:pPr>
        <w:spacing w:after="0"/>
        <w:rPr>
          <w:rFonts w:asciiTheme="majorHAnsi" w:hAnsiTheme="majorHAnsi" w:cstheme="majorHAnsi"/>
        </w:rPr>
      </w:pPr>
    </w:p>
    <w:p w14:paraId="2EA962D4" w14:textId="77777777" w:rsidR="004878AE" w:rsidRPr="00BF0914" w:rsidRDefault="00A109FB" w:rsidP="00074EAB">
      <w:pPr>
        <w:spacing w:after="0"/>
        <w:rPr>
          <w:rFonts w:asciiTheme="majorHAnsi" w:hAnsiTheme="majorHAnsi" w:cstheme="majorHAnsi"/>
        </w:rPr>
      </w:pPr>
      <w:r w:rsidRPr="00BF0914">
        <w:rPr>
          <w:rFonts w:asciiTheme="majorHAnsi" w:hAnsiTheme="majorHAnsi" w:cstheme="majorHAnsi"/>
        </w:rPr>
        <w:t>Please indicate what type of document</w:t>
      </w:r>
      <w:r w:rsidR="00B260F1" w:rsidRPr="00BF0914">
        <w:rPr>
          <w:rFonts w:asciiTheme="majorHAnsi" w:hAnsiTheme="majorHAnsi" w:cstheme="majorHAnsi"/>
        </w:rPr>
        <w:t xml:space="preserve"> this is</w:t>
      </w:r>
      <w:r w:rsidR="009F0FBE" w:rsidRPr="00BF0914">
        <w:rPr>
          <w:rFonts w:asciiTheme="majorHAnsi" w:hAnsiTheme="majorHAnsi" w:cstheme="majorHAnsi"/>
        </w:rPr>
        <w:t xml:space="preserve"> (please check)</w:t>
      </w:r>
      <w:r w:rsidR="00B260F1" w:rsidRPr="00BF0914">
        <w:rPr>
          <w:rFonts w:asciiTheme="majorHAnsi" w:hAnsiTheme="majorHAnsi" w:cstheme="majorHAnsi"/>
        </w:rPr>
        <w:t>:</w:t>
      </w:r>
      <w:r w:rsidR="007F2235" w:rsidRPr="00BF0914">
        <w:rPr>
          <w:rFonts w:asciiTheme="majorHAnsi" w:hAnsiTheme="majorHAnsi" w:cstheme="majorHAnsi"/>
        </w:rPr>
        <w:tab/>
      </w:r>
    </w:p>
    <w:p w14:paraId="33412DE1" w14:textId="77777777" w:rsidR="00A109FB" w:rsidRPr="00BF0914" w:rsidRDefault="00A109FB" w:rsidP="00074EAB">
      <w:pPr>
        <w:spacing w:after="0"/>
        <w:rPr>
          <w:rFonts w:asciiTheme="majorHAnsi" w:hAnsiTheme="majorHAnsi" w:cstheme="majorHAnsi"/>
        </w:rPr>
      </w:pPr>
    </w:p>
    <w:p w14:paraId="6689DE2D" w14:textId="22F80C0E" w:rsidR="00A109FB" w:rsidRPr="00BF0914" w:rsidRDefault="001923F1" w:rsidP="00074EAB">
      <w:pPr>
        <w:spacing w:after="0"/>
        <w:rPr>
          <w:rFonts w:asciiTheme="majorHAnsi" w:hAnsiTheme="majorHAnsi" w:cstheme="majorHAnsi"/>
          <w:color w:val="008385"/>
        </w:rPr>
      </w:pPr>
      <w:r w:rsidRPr="00BF0914">
        <w:rPr>
          <w:rFonts w:ascii="Segoe UI Symbol" w:eastAsia="MS Gothic" w:hAnsi="Segoe UI Symbol" w:cs="Segoe UI Symbol"/>
          <w:color w:val="008385"/>
        </w:rPr>
        <w:t>☒</w:t>
      </w:r>
      <w:r w:rsidR="00A109FB" w:rsidRPr="00BF0914">
        <w:rPr>
          <w:rFonts w:asciiTheme="majorHAnsi" w:hAnsiTheme="majorHAnsi" w:cstheme="majorHAnsi"/>
          <w:color w:val="008385"/>
        </w:rPr>
        <w:tab/>
        <w:t>Policy</w:t>
      </w:r>
    </w:p>
    <w:p w14:paraId="521D46D7" w14:textId="65798855" w:rsidR="00A109FB" w:rsidRPr="00BF0914" w:rsidRDefault="00A109FB" w:rsidP="00074EAB">
      <w:pPr>
        <w:spacing w:after="0"/>
        <w:rPr>
          <w:rFonts w:asciiTheme="majorHAnsi" w:hAnsiTheme="majorHAnsi" w:cstheme="majorHAnsi"/>
          <w:color w:val="008385"/>
        </w:rPr>
      </w:pPr>
      <w:r w:rsidRPr="00BF0914">
        <w:rPr>
          <w:rFonts w:ascii="Segoe UI Symbol" w:eastAsia="MS Gothic" w:hAnsi="Segoe UI Symbol" w:cs="Segoe UI Symbol"/>
          <w:color w:val="008385"/>
        </w:rPr>
        <w:t>☐</w:t>
      </w:r>
      <w:r w:rsidRPr="00BF0914">
        <w:rPr>
          <w:rFonts w:asciiTheme="majorHAnsi" w:hAnsiTheme="majorHAnsi" w:cstheme="majorHAnsi"/>
          <w:color w:val="008385"/>
        </w:rPr>
        <w:tab/>
        <w:t>Procedure</w:t>
      </w:r>
    </w:p>
    <w:p w14:paraId="48338A36" w14:textId="02649E2E" w:rsidR="00A109FB" w:rsidRPr="00BF0914" w:rsidRDefault="00D85917" w:rsidP="00074EAB">
      <w:pPr>
        <w:spacing w:after="0"/>
        <w:rPr>
          <w:rFonts w:asciiTheme="majorHAnsi" w:hAnsiTheme="majorHAnsi" w:cstheme="majorHAnsi"/>
          <w:color w:val="008385"/>
        </w:rPr>
      </w:pPr>
      <w:r w:rsidRPr="00BF0914">
        <w:rPr>
          <w:rFonts w:ascii="Segoe UI Symbol" w:eastAsia="MS Gothic" w:hAnsi="Segoe UI Symbol" w:cs="Segoe UI Symbol"/>
          <w:color w:val="008385"/>
        </w:rPr>
        <w:t>☐</w:t>
      </w:r>
      <w:r w:rsidR="00B260F1" w:rsidRPr="00BF0914">
        <w:rPr>
          <w:rFonts w:asciiTheme="majorHAnsi" w:hAnsiTheme="majorHAnsi" w:cstheme="majorHAnsi"/>
          <w:color w:val="008385"/>
        </w:rPr>
        <w:tab/>
        <w:t>Guideline</w:t>
      </w:r>
    </w:p>
    <w:p w14:paraId="61BF124D" w14:textId="782F535B" w:rsidR="00C84612" w:rsidRPr="00BF0914" w:rsidRDefault="00C84612" w:rsidP="00C84612">
      <w:pPr>
        <w:spacing w:after="0"/>
        <w:jc w:val="center"/>
        <w:rPr>
          <w:rFonts w:asciiTheme="majorHAnsi" w:hAnsiTheme="majorHAnsi" w:cstheme="majorHAnsi"/>
        </w:rPr>
      </w:pPr>
    </w:p>
    <w:p w14:paraId="7E33228F" w14:textId="77777777" w:rsidR="002135D6" w:rsidRDefault="002135D6" w:rsidP="00074EAB">
      <w:pPr>
        <w:spacing w:after="0"/>
        <w:rPr>
          <w:rFonts w:asciiTheme="majorHAnsi" w:hAnsiTheme="majorHAnsi" w:cstheme="majorHAnsi"/>
        </w:rPr>
      </w:pPr>
    </w:p>
    <w:p w14:paraId="7178044E" w14:textId="77777777" w:rsidR="004B3C05" w:rsidRDefault="004B3C05" w:rsidP="00074EAB">
      <w:pPr>
        <w:spacing w:after="0"/>
        <w:rPr>
          <w:rFonts w:asciiTheme="majorHAnsi" w:hAnsiTheme="majorHAnsi" w:cstheme="majorHAnsi"/>
        </w:rPr>
      </w:pPr>
    </w:p>
    <w:p w14:paraId="492F6D7C" w14:textId="77777777" w:rsidR="004B3C05" w:rsidRDefault="004B3C05" w:rsidP="00074EAB">
      <w:pPr>
        <w:spacing w:after="0"/>
        <w:rPr>
          <w:rFonts w:asciiTheme="majorHAnsi" w:hAnsiTheme="majorHAnsi" w:cstheme="majorHAnsi"/>
        </w:rPr>
      </w:pPr>
    </w:p>
    <w:p w14:paraId="2206626E" w14:textId="77777777" w:rsidR="001A46AA" w:rsidRDefault="001A46AA" w:rsidP="00074EAB">
      <w:pPr>
        <w:spacing w:after="0"/>
        <w:rPr>
          <w:rFonts w:asciiTheme="majorHAnsi" w:hAnsiTheme="majorHAnsi" w:cstheme="majorHAnsi"/>
        </w:rPr>
      </w:pPr>
    </w:p>
    <w:p w14:paraId="5580F981" w14:textId="77777777" w:rsidR="001A46AA" w:rsidRDefault="001A46AA" w:rsidP="00074EAB">
      <w:pPr>
        <w:spacing w:after="0"/>
        <w:rPr>
          <w:rFonts w:asciiTheme="majorHAnsi" w:hAnsiTheme="majorHAnsi" w:cstheme="majorHAnsi"/>
        </w:rPr>
      </w:pPr>
    </w:p>
    <w:p w14:paraId="5E603B14" w14:textId="77777777" w:rsidR="001A46AA" w:rsidRDefault="001A46AA" w:rsidP="00074EAB">
      <w:pPr>
        <w:spacing w:after="0"/>
        <w:rPr>
          <w:rFonts w:asciiTheme="majorHAnsi" w:hAnsiTheme="majorHAnsi" w:cstheme="majorHAnsi"/>
        </w:rPr>
      </w:pPr>
    </w:p>
    <w:p w14:paraId="7539F910" w14:textId="77777777" w:rsidR="001A46AA" w:rsidRDefault="001A46AA" w:rsidP="00074EAB">
      <w:pPr>
        <w:spacing w:after="0"/>
        <w:rPr>
          <w:rFonts w:asciiTheme="majorHAnsi" w:hAnsiTheme="majorHAnsi" w:cstheme="majorHAnsi"/>
        </w:rPr>
      </w:pPr>
    </w:p>
    <w:p w14:paraId="5545CFAB" w14:textId="77777777" w:rsidR="001A46AA" w:rsidRDefault="001A46AA" w:rsidP="00074EAB">
      <w:pPr>
        <w:spacing w:after="0"/>
        <w:rPr>
          <w:rFonts w:asciiTheme="majorHAnsi" w:hAnsiTheme="majorHAnsi" w:cstheme="majorHAnsi"/>
        </w:rPr>
      </w:pPr>
    </w:p>
    <w:p w14:paraId="1CC70AEA" w14:textId="77777777" w:rsidR="001A46AA" w:rsidRDefault="001A46AA" w:rsidP="00074EAB">
      <w:pPr>
        <w:spacing w:after="0"/>
        <w:rPr>
          <w:rFonts w:asciiTheme="majorHAnsi" w:hAnsiTheme="majorHAnsi" w:cstheme="majorHAnsi"/>
        </w:rPr>
      </w:pPr>
    </w:p>
    <w:p w14:paraId="128DFC7B" w14:textId="77777777" w:rsidR="001A46AA" w:rsidRDefault="001A46AA" w:rsidP="00074EAB">
      <w:pPr>
        <w:spacing w:after="0"/>
        <w:rPr>
          <w:rFonts w:asciiTheme="majorHAnsi" w:hAnsiTheme="majorHAnsi" w:cstheme="majorHAnsi"/>
        </w:rPr>
      </w:pPr>
    </w:p>
    <w:p w14:paraId="74D95BFB" w14:textId="77777777" w:rsidR="004B3C05" w:rsidRPr="00BF0914" w:rsidRDefault="004B3C05" w:rsidP="00074EAB">
      <w:pPr>
        <w:spacing w:after="0"/>
        <w:rPr>
          <w:rFonts w:asciiTheme="majorHAnsi" w:hAnsiTheme="majorHAnsi" w:cstheme="majorHAnsi"/>
        </w:rPr>
      </w:pPr>
    </w:p>
    <w:tbl>
      <w:tblPr>
        <w:tblW w:w="0" w:type="auto"/>
        <w:jc w:val="center"/>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tblBorders>
        <w:tblCellMar>
          <w:left w:w="0" w:type="dxa"/>
          <w:right w:w="0" w:type="dxa"/>
        </w:tblCellMar>
        <w:tblLook w:val="04A0" w:firstRow="1" w:lastRow="0" w:firstColumn="1" w:lastColumn="0" w:noHBand="0" w:noVBand="1"/>
      </w:tblPr>
      <w:tblGrid>
        <w:gridCol w:w="1925"/>
        <w:gridCol w:w="8255"/>
      </w:tblGrid>
      <w:tr w:rsidR="00B81935" w:rsidRPr="00BF0914" w14:paraId="0437BB7D" w14:textId="77777777" w:rsidTr="00C84612">
        <w:trPr>
          <w:trHeight w:val="841"/>
          <w:jc w:val="center"/>
        </w:trPr>
        <w:tc>
          <w:tcPr>
            <w:tcW w:w="10180" w:type="dxa"/>
            <w:gridSpan w:val="2"/>
            <w:shd w:val="clear" w:color="auto" w:fill="008385"/>
          </w:tcPr>
          <w:p w14:paraId="1C4E55A1" w14:textId="77777777" w:rsidR="00B81935" w:rsidRPr="00BF0914" w:rsidRDefault="00B81935" w:rsidP="004E7C88">
            <w:pPr>
              <w:spacing w:before="240" w:line="240" w:lineRule="auto"/>
              <w:rPr>
                <w:rFonts w:asciiTheme="majorHAnsi" w:eastAsia="Calibri" w:hAnsiTheme="majorHAnsi" w:cstheme="majorHAnsi"/>
                <w:color w:val="FFFFFF"/>
              </w:rPr>
            </w:pPr>
            <w:r w:rsidRPr="00BF0914">
              <w:rPr>
                <w:rFonts w:asciiTheme="majorHAnsi" w:eastAsia="Calibri" w:hAnsiTheme="majorHAnsi" w:cstheme="majorHAnsi"/>
                <w:color w:val="FFFFFF"/>
              </w:rPr>
              <w:lastRenderedPageBreak/>
              <w:t xml:space="preserve">      </w:t>
            </w:r>
            <w:r w:rsidRPr="00BF0914">
              <w:rPr>
                <w:rFonts w:asciiTheme="majorHAnsi" w:eastAsia="Calibri" w:hAnsiTheme="majorHAnsi" w:cstheme="majorHAnsi"/>
                <w:noProof/>
                <w:lang w:eastAsia="en-GB"/>
              </w:rPr>
              <w:drawing>
                <wp:inline distT="0" distB="0" distL="0" distR="0" wp14:anchorId="4352E101" wp14:editId="5D8EA8E5">
                  <wp:extent cx="1383527" cy="268685"/>
                  <wp:effectExtent l="0" t="0" r="7620" b="0"/>
                  <wp:docPr id="3" name="Picture 3" descr="Description: Description: Description: cid:image004.png@01D63808.FFA11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Description: Description: cid:image004.png@01D63808.FFA1195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6807" cy="313989"/>
                          </a:xfrm>
                          <a:prstGeom prst="rect">
                            <a:avLst/>
                          </a:prstGeom>
                          <a:noFill/>
                          <a:ln>
                            <a:noFill/>
                          </a:ln>
                        </pic:spPr>
                      </pic:pic>
                    </a:graphicData>
                  </a:graphic>
                </wp:inline>
              </w:drawing>
            </w:r>
            <w:r w:rsidRPr="00BF0914">
              <w:rPr>
                <w:rFonts w:asciiTheme="majorHAnsi" w:eastAsia="Calibri" w:hAnsiTheme="majorHAnsi" w:cstheme="majorHAnsi"/>
                <w:color w:val="FFFFFF"/>
              </w:rPr>
              <w:t xml:space="preserve">   </w:t>
            </w:r>
          </w:p>
        </w:tc>
      </w:tr>
      <w:tr w:rsidR="00B81935" w:rsidRPr="00BF0914" w14:paraId="7F769E88" w14:textId="77777777" w:rsidTr="00C84612">
        <w:trPr>
          <w:trHeight w:val="1979"/>
          <w:jc w:val="center"/>
        </w:trPr>
        <w:tc>
          <w:tcPr>
            <w:tcW w:w="1925" w:type="dxa"/>
            <w:tcBorders>
              <w:bottom w:val="single" w:sz="4" w:space="0" w:color="7B7B7B" w:themeColor="accent3" w:themeShade="BF"/>
            </w:tcBorders>
            <w:shd w:val="clear" w:color="auto" w:fill="B4C6E7" w:themeFill="accent5" w:themeFillTint="66"/>
            <w:vAlign w:val="center"/>
          </w:tcPr>
          <w:p w14:paraId="69204E26" w14:textId="77777777" w:rsidR="00B81935" w:rsidRPr="00BF0914" w:rsidRDefault="00B81935" w:rsidP="004E7C88">
            <w:pPr>
              <w:spacing w:after="0" w:line="240" w:lineRule="auto"/>
              <w:jc w:val="center"/>
              <w:rPr>
                <w:rFonts w:asciiTheme="majorHAnsi" w:eastAsia="Calibri" w:hAnsiTheme="majorHAnsi" w:cstheme="majorHAnsi"/>
                <w:color w:val="000000" w:themeColor="text1"/>
              </w:rPr>
            </w:pPr>
            <w:r w:rsidRPr="00BF0914">
              <w:rPr>
                <w:rFonts w:asciiTheme="majorHAnsi" w:eastAsia="Calibri" w:hAnsiTheme="majorHAnsi" w:cstheme="majorHAnsi"/>
                <w:noProof/>
                <w:color w:val="FFFFFF"/>
                <w:lang w:eastAsia="en-GB"/>
              </w:rPr>
              <w:drawing>
                <wp:inline distT="0" distB="0" distL="0" distR="0" wp14:anchorId="44F2489C" wp14:editId="1DD86656">
                  <wp:extent cx="955801" cy="9621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LICY.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94926" cy="1001491"/>
                          </a:xfrm>
                          <a:prstGeom prst="rect">
                            <a:avLst/>
                          </a:prstGeom>
                        </pic:spPr>
                      </pic:pic>
                    </a:graphicData>
                  </a:graphic>
                </wp:inline>
              </w:drawing>
            </w:r>
          </w:p>
        </w:tc>
        <w:tc>
          <w:tcPr>
            <w:tcW w:w="8255" w:type="dxa"/>
            <w:tcBorders>
              <w:bottom w:val="single" w:sz="4" w:space="0" w:color="7B7B7B" w:themeColor="accent3" w:themeShade="BF"/>
            </w:tcBorders>
            <w:shd w:val="clear" w:color="auto" w:fill="B4C6E7" w:themeFill="accent5" w:themeFillTint="66"/>
            <w:vAlign w:val="center"/>
          </w:tcPr>
          <w:p w14:paraId="1568D7EB" w14:textId="77777777" w:rsidR="00CE5EB3" w:rsidRDefault="00B81935" w:rsidP="001923F1">
            <w:pPr>
              <w:spacing w:after="0" w:line="240" w:lineRule="auto"/>
              <w:rPr>
                <w:rFonts w:asciiTheme="majorHAnsi" w:eastAsia="Calibri" w:hAnsiTheme="majorHAnsi" w:cstheme="majorHAnsi"/>
                <w:color w:val="008385"/>
                <w:sz w:val="40"/>
                <w:szCs w:val="40"/>
              </w:rPr>
            </w:pPr>
            <w:r w:rsidRPr="004B3C05">
              <w:rPr>
                <w:rFonts w:asciiTheme="majorHAnsi" w:eastAsia="Calibri" w:hAnsiTheme="majorHAnsi" w:cstheme="majorHAnsi"/>
                <w:color w:val="008385"/>
                <w:sz w:val="40"/>
                <w:szCs w:val="40"/>
              </w:rPr>
              <w:t>Policy on a Page</w:t>
            </w:r>
          </w:p>
          <w:p w14:paraId="7EA79E73" w14:textId="5E6EB50F" w:rsidR="00B81935" w:rsidRPr="00CE5EB3" w:rsidRDefault="00CE5EB3" w:rsidP="001923F1">
            <w:pPr>
              <w:spacing w:after="0" w:line="240" w:lineRule="auto"/>
              <w:rPr>
                <w:rFonts w:asciiTheme="majorHAnsi" w:eastAsia="Calibri" w:hAnsiTheme="majorHAnsi" w:cstheme="majorHAnsi"/>
                <w:color w:val="008385"/>
                <w:sz w:val="40"/>
                <w:szCs w:val="40"/>
              </w:rPr>
            </w:pPr>
            <w:r>
              <w:rPr>
                <w:rFonts w:asciiTheme="majorHAnsi" w:eastAsia="Calibri" w:hAnsiTheme="majorHAnsi" w:cstheme="majorHAnsi"/>
                <w:b/>
                <w:bCs/>
                <w:color w:val="11151A" w:themeColor="text2" w:themeShade="40"/>
                <w:sz w:val="40"/>
                <w:szCs w:val="40"/>
              </w:rPr>
              <w:t>CLINI 103</w:t>
            </w:r>
            <w:r w:rsidR="004B3C05" w:rsidRPr="004B3C05">
              <w:rPr>
                <w:rFonts w:asciiTheme="majorHAnsi" w:eastAsia="Calibri" w:hAnsiTheme="majorHAnsi" w:cstheme="majorHAnsi"/>
                <w:b/>
                <w:bCs/>
                <w:color w:val="11151A" w:themeColor="text2" w:themeShade="40"/>
                <w:sz w:val="40"/>
                <w:szCs w:val="40"/>
              </w:rPr>
              <w:t xml:space="preserve"> - </w:t>
            </w:r>
            <w:r w:rsidR="00EC2CDC" w:rsidRPr="004B3C05">
              <w:rPr>
                <w:rFonts w:asciiTheme="majorHAnsi" w:eastAsia="Calibri" w:hAnsiTheme="majorHAnsi" w:cstheme="majorHAnsi"/>
                <w:b/>
                <w:bCs/>
                <w:color w:val="11151A" w:themeColor="text2" w:themeShade="40"/>
                <w:sz w:val="40"/>
                <w:szCs w:val="40"/>
              </w:rPr>
              <w:t>Patient Safety Incident Response Framework (PSIRF) Policy</w:t>
            </w:r>
          </w:p>
        </w:tc>
      </w:tr>
      <w:tr w:rsidR="00B81935" w:rsidRPr="00BF0914" w14:paraId="70E690BC" w14:textId="77777777" w:rsidTr="00C84612">
        <w:trPr>
          <w:trHeight w:val="549"/>
          <w:jc w:val="center"/>
        </w:trPr>
        <w:tc>
          <w:tcPr>
            <w:tcW w:w="10180" w:type="dxa"/>
            <w:gridSpan w:val="2"/>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auto" w:fill="F0FAFA"/>
          </w:tcPr>
          <w:p w14:paraId="04ACB1E2" w14:textId="77777777" w:rsidR="00B81935" w:rsidRPr="00BF0914" w:rsidRDefault="00B81935" w:rsidP="00671985">
            <w:pPr>
              <w:spacing w:after="0" w:line="240" w:lineRule="auto"/>
              <w:jc w:val="center"/>
              <w:rPr>
                <w:rFonts w:asciiTheme="majorHAnsi" w:eastAsia="Calibri" w:hAnsiTheme="majorHAnsi" w:cstheme="majorHAnsi"/>
                <w:color w:val="000000" w:themeColor="text1"/>
              </w:rPr>
            </w:pPr>
            <w:r w:rsidRPr="00BF0914">
              <w:rPr>
                <w:rFonts w:asciiTheme="majorHAnsi" w:eastAsia="Calibri" w:hAnsiTheme="majorHAnsi" w:cstheme="majorHAnsi"/>
                <w:color w:val="000000" w:themeColor="text1"/>
              </w:rPr>
              <w:t xml:space="preserve">Policies can sometimes be hard to digest, but all colleagues need to be aware of their key points. </w:t>
            </w:r>
          </w:p>
          <w:p w14:paraId="1E7E5DF0" w14:textId="7DBF1AAC" w:rsidR="00B81935" w:rsidRPr="00BF0914" w:rsidRDefault="00836D8E" w:rsidP="00671985">
            <w:pPr>
              <w:spacing w:after="0" w:line="240" w:lineRule="auto"/>
              <w:jc w:val="center"/>
              <w:rPr>
                <w:rFonts w:asciiTheme="majorHAnsi" w:eastAsia="Calibri" w:hAnsiTheme="majorHAnsi" w:cstheme="majorHAnsi"/>
                <w:color w:val="000000" w:themeColor="text1"/>
              </w:rPr>
            </w:pPr>
            <w:r w:rsidRPr="00BF0914">
              <w:rPr>
                <w:rFonts w:asciiTheme="majorHAnsi" w:eastAsia="Calibri" w:hAnsiTheme="majorHAnsi" w:cstheme="majorHAnsi"/>
                <w:color w:val="000000" w:themeColor="text1"/>
              </w:rPr>
              <w:t>T</w:t>
            </w:r>
            <w:r w:rsidR="00B81935" w:rsidRPr="00BF0914">
              <w:rPr>
                <w:rFonts w:asciiTheme="majorHAnsi" w:eastAsia="Calibri" w:hAnsiTheme="majorHAnsi" w:cstheme="majorHAnsi"/>
                <w:color w:val="000000" w:themeColor="text1"/>
              </w:rPr>
              <w:t xml:space="preserve">he key points from this policy </w:t>
            </w:r>
            <w:r w:rsidRPr="00BF0914">
              <w:rPr>
                <w:rFonts w:asciiTheme="majorHAnsi" w:eastAsia="Calibri" w:hAnsiTheme="majorHAnsi" w:cstheme="majorHAnsi"/>
                <w:color w:val="000000" w:themeColor="text1"/>
              </w:rPr>
              <w:t>are on this page.</w:t>
            </w:r>
          </w:p>
        </w:tc>
      </w:tr>
      <w:tr w:rsidR="00B81935" w:rsidRPr="00BF0914" w14:paraId="28C7E97E" w14:textId="77777777" w:rsidTr="00D50598">
        <w:trPr>
          <w:trHeight w:val="1693"/>
          <w:jc w:val="center"/>
        </w:trPr>
        <w:tc>
          <w:tcPr>
            <w:tcW w:w="1925"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auto" w:fill="FFFFFF"/>
            <w:vAlign w:val="center"/>
          </w:tcPr>
          <w:p w14:paraId="584B6040" w14:textId="77777777" w:rsidR="00B81935" w:rsidRPr="00BF0914" w:rsidRDefault="00B81935" w:rsidP="004E7C88">
            <w:pPr>
              <w:spacing w:before="240" w:line="240" w:lineRule="auto"/>
              <w:jc w:val="center"/>
              <w:rPr>
                <w:rFonts w:asciiTheme="majorHAnsi" w:eastAsia="Calibri" w:hAnsiTheme="majorHAnsi" w:cstheme="majorHAnsi"/>
                <w:color w:val="000000" w:themeColor="text1"/>
              </w:rPr>
            </w:pPr>
            <w:r w:rsidRPr="00BF0914">
              <w:rPr>
                <w:rFonts w:asciiTheme="majorHAnsi" w:hAnsiTheme="majorHAnsi" w:cstheme="majorHAnsi"/>
                <w:noProof/>
                <w:lang w:eastAsia="en-GB"/>
              </w:rPr>
              <w:drawing>
                <wp:inline distT="0" distB="0" distL="0" distR="0" wp14:anchorId="11DAA6AB" wp14:editId="0C38B528">
                  <wp:extent cx="850789" cy="899206"/>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862713" cy="911809"/>
                          </a:xfrm>
                          <a:prstGeom prst="rect">
                            <a:avLst/>
                          </a:prstGeom>
                        </pic:spPr>
                      </pic:pic>
                    </a:graphicData>
                  </a:graphic>
                </wp:inline>
              </w:drawing>
            </w:r>
          </w:p>
        </w:tc>
        <w:tc>
          <w:tcPr>
            <w:tcW w:w="8255"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auto" w:fill="FFFFFF"/>
          </w:tcPr>
          <w:p w14:paraId="5EB85D13" w14:textId="77777777" w:rsidR="00B81935" w:rsidRPr="00BF0914" w:rsidRDefault="00B81935" w:rsidP="004E7C88">
            <w:pPr>
              <w:spacing w:before="240" w:after="0" w:line="240" w:lineRule="auto"/>
              <w:ind w:left="281"/>
              <w:rPr>
                <w:rFonts w:asciiTheme="majorHAnsi" w:eastAsia="Calibri" w:hAnsiTheme="majorHAnsi" w:cstheme="majorHAnsi"/>
                <w:color w:val="008385"/>
              </w:rPr>
            </w:pPr>
            <w:r w:rsidRPr="00BF0914">
              <w:rPr>
                <w:rFonts w:asciiTheme="majorHAnsi" w:eastAsia="Calibri" w:hAnsiTheme="majorHAnsi" w:cstheme="majorHAnsi"/>
                <w:color w:val="008385"/>
              </w:rPr>
              <w:t>What Does the Policy Cover?</w:t>
            </w:r>
          </w:p>
          <w:p w14:paraId="0FA73120" w14:textId="74B5EE17" w:rsidR="001923F1" w:rsidRDefault="00E04903" w:rsidP="003443BC">
            <w:pPr>
              <w:pStyle w:val="BodyText"/>
              <w:spacing w:before="121"/>
              <w:ind w:left="328" w:right="236"/>
              <w:jc w:val="both"/>
              <w:rPr>
                <w:rFonts w:asciiTheme="majorHAnsi" w:hAnsiTheme="majorHAnsi" w:cstheme="majorHAnsi"/>
                <w:sz w:val="22"/>
                <w:szCs w:val="22"/>
              </w:rPr>
            </w:pPr>
            <w:r>
              <w:rPr>
                <w:rFonts w:asciiTheme="majorHAnsi" w:hAnsiTheme="majorHAnsi" w:cstheme="majorHAnsi"/>
                <w:sz w:val="22"/>
                <w:szCs w:val="22"/>
              </w:rPr>
              <w:t xml:space="preserve">This policy covers </w:t>
            </w:r>
            <w:r w:rsidRPr="00E04903">
              <w:rPr>
                <w:rFonts w:asciiTheme="majorHAnsi" w:hAnsiTheme="majorHAnsi" w:cstheme="majorHAnsi"/>
                <w:sz w:val="22"/>
                <w:szCs w:val="22"/>
              </w:rPr>
              <w:t>Spire Healthcare</w:t>
            </w:r>
            <w:r>
              <w:rPr>
                <w:rFonts w:asciiTheme="majorHAnsi" w:hAnsiTheme="majorHAnsi" w:cstheme="majorHAnsi"/>
                <w:sz w:val="22"/>
                <w:szCs w:val="22"/>
              </w:rPr>
              <w:t xml:space="preserve">’s </w:t>
            </w:r>
            <w:r w:rsidR="00683142">
              <w:rPr>
                <w:rFonts w:asciiTheme="majorHAnsi" w:hAnsiTheme="majorHAnsi" w:cstheme="majorHAnsi"/>
                <w:sz w:val="22"/>
                <w:szCs w:val="22"/>
              </w:rPr>
              <w:t xml:space="preserve">patient safety </w:t>
            </w:r>
            <w:r w:rsidR="00404378">
              <w:rPr>
                <w:rFonts w:asciiTheme="majorHAnsi" w:hAnsiTheme="majorHAnsi" w:cstheme="majorHAnsi"/>
                <w:sz w:val="22"/>
                <w:szCs w:val="22"/>
              </w:rPr>
              <w:t xml:space="preserve">incident reporting and </w:t>
            </w:r>
            <w:r w:rsidR="0090210B">
              <w:rPr>
                <w:rFonts w:asciiTheme="majorHAnsi" w:hAnsiTheme="majorHAnsi" w:cstheme="majorHAnsi"/>
                <w:sz w:val="22"/>
                <w:szCs w:val="22"/>
              </w:rPr>
              <w:t>incident response</w:t>
            </w:r>
            <w:r w:rsidR="00404378">
              <w:rPr>
                <w:rFonts w:asciiTheme="majorHAnsi" w:hAnsiTheme="majorHAnsi" w:cstheme="majorHAnsi"/>
                <w:sz w:val="22"/>
                <w:szCs w:val="22"/>
              </w:rPr>
              <w:t xml:space="preserve"> processes. </w:t>
            </w:r>
          </w:p>
          <w:p w14:paraId="27956171" w14:textId="03DE517E" w:rsidR="009502D5" w:rsidRPr="00BF0914" w:rsidRDefault="009502D5" w:rsidP="003443BC">
            <w:pPr>
              <w:pStyle w:val="BodyText"/>
              <w:spacing w:before="121"/>
              <w:ind w:left="328" w:right="236"/>
              <w:jc w:val="both"/>
              <w:rPr>
                <w:rFonts w:asciiTheme="majorHAnsi" w:hAnsiTheme="majorHAnsi" w:cstheme="majorHAnsi"/>
                <w:sz w:val="22"/>
                <w:szCs w:val="22"/>
              </w:rPr>
            </w:pPr>
            <w:r>
              <w:rPr>
                <w:rFonts w:asciiTheme="majorHAnsi" w:hAnsiTheme="majorHAnsi" w:cstheme="majorHAnsi"/>
                <w:sz w:val="22"/>
                <w:szCs w:val="22"/>
              </w:rPr>
              <w:t xml:space="preserve">Non-clinical incidents are covered in policy </w:t>
            </w:r>
            <w:r w:rsidR="00291AB4">
              <w:rPr>
                <w:rFonts w:asciiTheme="majorHAnsi" w:hAnsiTheme="majorHAnsi" w:cstheme="majorHAnsi"/>
                <w:sz w:val="22"/>
                <w:szCs w:val="22"/>
              </w:rPr>
              <w:t>(TBC)</w:t>
            </w:r>
          </w:p>
        </w:tc>
      </w:tr>
      <w:tr w:rsidR="00B81935" w:rsidRPr="00BF0914" w14:paraId="66A05C19" w14:textId="77777777" w:rsidTr="00C84612">
        <w:trPr>
          <w:trHeight w:val="847"/>
          <w:jc w:val="center"/>
        </w:trPr>
        <w:tc>
          <w:tcPr>
            <w:tcW w:w="1925"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auto" w:fill="FFFFFF"/>
            <w:vAlign w:val="center"/>
          </w:tcPr>
          <w:p w14:paraId="18555E84" w14:textId="77777777" w:rsidR="00B81935" w:rsidRPr="00BF0914" w:rsidRDefault="00B81935" w:rsidP="004E7C88">
            <w:pPr>
              <w:spacing w:before="240" w:line="240" w:lineRule="auto"/>
              <w:jc w:val="center"/>
              <w:rPr>
                <w:rFonts w:asciiTheme="majorHAnsi" w:eastAsia="Calibri" w:hAnsiTheme="majorHAnsi" w:cstheme="majorHAnsi"/>
                <w:color w:val="000000" w:themeColor="text1"/>
              </w:rPr>
            </w:pPr>
            <w:r w:rsidRPr="00BF0914">
              <w:rPr>
                <w:rFonts w:asciiTheme="majorHAnsi" w:hAnsiTheme="majorHAnsi" w:cstheme="majorHAnsi"/>
                <w:noProof/>
                <w:lang w:eastAsia="en-GB"/>
              </w:rPr>
              <w:drawing>
                <wp:inline distT="0" distB="0" distL="0" distR="0" wp14:anchorId="768A7A7F" wp14:editId="398A5877">
                  <wp:extent cx="949919" cy="99822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962395" cy="1011330"/>
                          </a:xfrm>
                          <a:prstGeom prst="rect">
                            <a:avLst/>
                          </a:prstGeom>
                        </pic:spPr>
                      </pic:pic>
                    </a:graphicData>
                  </a:graphic>
                </wp:inline>
              </w:drawing>
            </w:r>
          </w:p>
        </w:tc>
        <w:tc>
          <w:tcPr>
            <w:tcW w:w="8255"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auto" w:fill="FFFFFF"/>
          </w:tcPr>
          <w:p w14:paraId="1E17BC55" w14:textId="77777777" w:rsidR="00B81935" w:rsidRPr="00BF0914" w:rsidRDefault="00836D8E" w:rsidP="004E7C88">
            <w:pPr>
              <w:spacing w:before="240" w:after="0" w:line="240" w:lineRule="auto"/>
              <w:ind w:left="281"/>
              <w:rPr>
                <w:rFonts w:asciiTheme="majorHAnsi" w:eastAsia="Calibri" w:hAnsiTheme="majorHAnsi" w:cstheme="majorHAnsi"/>
                <w:color w:val="008385"/>
              </w:rPr>
            </w:pPr>
            <w:r w:rsidRPr="00BF0914">
              <w:rPr>
                <w:rFonts w:asciiTheme="majorHAnsi" w:eastAsia="Calibri" w:hAnsiTheme="majorHAnsi" w:cstheme="majorHAnsi"/>
                <w:color w:val="008385"/>
              </w:rPr>
              <w:t>Who are the key groups who need to be aware of this policy</w:t>
            </w:r>
            <w:r w:rsidR="00AB2D6C" w:rsidRPr="00BF0914">
              <w:rPr>
                <w:rFonts w:asciiTheme="majorHAnsi" w:eastAsia="Calibri" w:hAnsiTheme="majorHAnsi" w:cstheme="majorHAnsi"/>
                <w:color w:val="008385"/>
              </w:rPr>
              <w:t xml:space="preserve"> (please check)</w:t>
            </w:r>
            <w:r w:rsidR="00B81935" w:rsidRPr="00BF0914">
              <w:rPr>
                <w:rFonts w:asciiTheme="majorHAnsi" w:eastAsia="Calibri" w:hAnsiTheme="majorHAnsi" w:cstheme="majorHAnsi"/>
                <w:color w:val="008385"/>
              </w:rPr>
              <w:t>?</w:t>
            </w:r>
          </w:p>
          <w:p w14:paraId="0FA0BC35" w14:textId="77777777" w:rsidR="00B81935" w:rsidRPr="00BF0914" w:rsidRDefault="00B81935" w:rsidP="004E7C88">
            <w:pPr>
              <w:spacing w:after="0" w:line="240" w:lineRule="auto"/>
              <w:ind w:left="281"/>
              <w:rPr>
                <w:rFonts w:asciiTheme="majorHAnsi" w:eastAsia="Calibri" w:hAnsiTheme="majorHAnsi" w:cstheme="majorHAnsi"/>
                <w:color w:val="000000" w:themeColor="text1"/>
              </w:rPr>
            </w:pPr>
          </w:p>
          <w:p w14:paraId="246100FE" w14:textId="2F7C9F81" w:rsidR="00B81935" w:rsidRPr="00BF0914" w:rsidRDefault="004B3C05" w:rsidP="00836D8E">
            <w:pPr>
              <w:spacing w:after="0" w:line="240" w:lineRule="auto"/>
              <w:ind w:left="281"/>
              <w:rPr>
                <w:rFonts w:asciiTheme="majorHAnsi" w:eastAsia="Calibri" w:hAnsiTheme="majorHAnsi" w:cstheme="majorHAnsi"/>
                <w:color w:val="008385"/>
              </w:rPr>
            </w:pPr>
            <w:r w:rsidRPr="00BF0914">
              <w:rPr>
                <w:rFonts w:ascii="Segoe UI Symbol" w:eastAsia="MS Gothic" w:hAnsi="Segoe UI Symbol" w:cs="Segoe UI Symbol"/>
                <w:color w:val="008385"/>
              </w:rPr>
              <w:t>☒</w:t>
            </w:r>
            <w:r w:rsidRPr="00BF0914">
              <w:rPr>
                <w:rFonts w:asciiTheme="majorHAnsi" w:eastAsia="Calibri" w:hAnsiTheme="majorHAnsi" w:cstheme="majorHAnsi"/>
                <w:color w:val="008385"/>
              </w:rPr>
              <w:t xml:space="preserve"> Hospital</w:t>
            </w:r>
            <w:r w:rsidR="00836D8E" w:rsidRPr="00BF0914">
              <w:rPr>
                <w:rFonts w:asciiTheme="majorHAnsi" w:eastAsia="Calibri" w:hAnsiTheme="majorHAnsi" w:cstheme="majorHAnsi"/>
                <w:color w:val="008385"/>
              </w:rPr>
              <w:t xml:space="preserve"> c</w:t>
            </w:r>
            <w:r w:rsidR="00B81935" w:rsidRPr="00BF0914">
              <w:rPr>
                <w:rFonts w:asciiTheme="majorHAnsi" w:eastAsia="Calibri" w:hAnsiTheme="majorHAnsi" w:cstheme="majorHAnsi"/>
                <w:color w:val="008385"/>
              </w:rPr>
              <w:t>linical colleagues</w:t>
            </w:r>
          </w:p>
          <w:p w14:paraId="386FCB8B" w14:textId="60F0053C" w:rsidR="00B81935" w:rsidRPr="00BF0914" w:rsidRDefault="004B3C05" w:rsidP="004E7C88">
            <w:pPr>
              <w:spacing w:after="0" w:line="240" w:lineRule="auto"/>
              <w:ind w:left="281"/>
              <w:rPr>
                <w:rFonts w:asciiTheme="majorHAnsi" w:eastAsia="Calibri" w:hAnsiTheme="majorHAnsi" w:cstheme="majorHAnsi"/>
                <w:color w:val="008385"/>
              </w:rPr>
            </w:pPr>
            <w:r w:rsidRPr="00BF0914">
              <w:rPr>
                <w:rFonts w:ascii="Segoe UI Symbol" w:eastAsia="MS Gothic" w:hAnsi="Segoe UI Symbol" w:cs="Segoe UI Symbol"/>
                <w:color w:val="008385"/>
              </w:rPr>
              <w:t>☒</w:t>
            </w:r>
            <w:r w:rsidRPr="00BF0914">
              <w:rPr>
                <w:rFonts w:asciiTheme="majorHAnsi" w:eastAsia="Calibri" w:hAnsiTheme="majorHAnsi" w:cstheme="majorHAnsi"/>
                <w:color w:val="008385"/>
              </w:rPr>
              <w:t xml:space="preserve"> Consultants</w:t>
            </w:r>
          </w:p>
          <w:p w14:paraId="33E060F9" w14:textId="311C5536" w:rsidR="00B81935" w:rsidRPr="00BF0914" w:rsidRDefault="004B3C05" w:rsidP="004E7C88">
            <w:pPr>
              <w:spacing w:after="0" w:line="240" w:lineRule="auto"/>
              <w:ind w:left="281"/>
              <w:rPr>
                <w:rFonts w:asciiTheme="majorHAnsi" w:eastAsia="Calibri" w:hAnsiTheme="majorHAnsi" w:cstheme="majorHAnsi"/>
                <w:color w:val="008385"/>
              </w:rPr>
            </w:pPr>
            <w:r w:rsidRPr="00BF0914">
              <w:rPr>
                <w:rFonts w:ascii="Segoe UI Symbol" w:eastAsia="MS Gothic" w:hAnsi="Segoe UI Symbol" w:cs="Segoe UI Symbol"/>
                <w:color w:val="008385"/>
              </w:rPr>
              <w:t>☒</w:t>
            </w:r>
            <w:r w:rsidRPr="00BF0914">
              <w:rPr>
                <w:rFonts w:asciiTheme="majorHAnsi" w:eastAsia="Calibri" w:hAnsiTheme="majorHAnsi" w:cstheme="majorHAnsi"/>
                <w:color w:val="008385"/>
              </w:rPr>
              <w:t xml:space="preserve"> Non</w:t>
            </w:r>
            <w:r w:rsidR="00B81935" w:rsidRPr="00BF0914">
              <w:rPr>
                <w:rFonts w:asciiTheme="majorHAnsi" w:eastAsia="Calibri" w:hAnsiTheme="majorHAnsi" w:cstheme="majorHAnsi"/>
                <w:color w:val="008385"/>
              </w:rPr>
              <w:t>-clinical colleagues</w:t>
            </w:r>
          </w:p>
          <w:p w14:paraId="41F50341" w14:textId="5506E102" w:rsidR="00B81935" w:rsidRPr="00BF0914" w:rsidRDefault="004B3C05" w:rsidP="004E7C88">
            <w:pPr>
              <w:spacing w:after="0" w:line="240" w:lineRule="auto"/>
              <w:ind w:left="281"/>
              <w:rPr>
                <w:rFonts w:asciiTheme="majorHAnsi" w:eastAsia="Calibri" w:hAnsiTheme="majorHAnsi" w:cstheme="majorHAnsi"/>
                <w:color w:val="008385"/>
              </w:rPr>
            </w:pPr>
            <w:r w:rsidRPr="00BF0914">
              <w:rPr>
                <w:rFonts w:ascii="Segoe UI Symbol" w:eastAsia="MS Gothic" w:hAnsi="Segoe UI Symbol" w:cs="Segoe UI Symbol"/>
                <w:color w:val="008385"/>
              </w:rPr>
              <w:t>☒</w:t>
            </w:r>
            <w:r w:rsidRPr="00BF0914">
              <w:rPr>
                <w:rFonts w:asciiTheme="majorHAnsi" w:eastAsia="Calibri" w:hAnsiTheme="majorHAnsi" w:cstheme="majorHAnsi"/>
                <w:color w:val="008385"/>
              </w:rPr>
              <w:t xml:space="preserve"> Everyone</w:t>
            </w:r>
          </w:p>
          <w:p w14:paraId="34ACDCD3" w14:textId="344BF93F" w:rsidR="00B81935" w:rsidRPr="00BF0914" w:rsidRDefault="0090210B" w:rsidP="0090210B">
            <w:pPr>
              <w:spacing w:after="0" w:line="240" w:lineRule="auto"/>
              <w:ind w:left="281"/>
              <w:rPr>
                <w:rFonts w:asciiTheme="majorHAnsi" w:eastAsia="Calibri" w:hAnsiTheme="majorHAnsi" w:cstheme="majorHAnsi"/>
                <w:color w:val="008385"/>
              </w:rPr>
            </w:pPr>
            <w:r w:rsidRPr="00BF0914">
              <w:rPr>
                <w:rFonts w:ascii="Segoe UI Symbol" w:eastAsia="MS Gothic" w:hAnsi="Segoe UI Symbol" w:cs="Segoe UI Symbol"/>
                <w:color w:val="008385"/>
              </w:rPr>
              <w:t>☒</w:t>
            </w:r>
            <w:r w:rsidR="00836D8E" w:rsidRPr="00BF0914">
              <w:rPr>
                <w:rFonts w:asciiTheme="majorHAnsi" w:eastAsia="Calibri" w:hAnsiTheme="majorHAnsi" w:cstheme="majorHAnsi"/>
                <w:color w:val="008385"/>
              </w:rPr>
              <w:t xml:space="preserve"> Other (please specify) </w:t>
            </w:r>
            <w:r>
              <w:rPr>
                <w:rFonts w:asciiTheme="majorHAnsi" w:eastAsia="Calibri" w:hAnsiTheme="majorHAnsi" w:cstheme="majorHAnsi"/>
                <w:color w:val="008385"/>
              </w:rPr>
              <w:t>- C</w:t>
            </w:r>
            <w:r w:rsidRPr="0090210B">
              <w:rPr>
                <w:rFonts w:asciiTheme="majorHAnsi" w:eastAsia="Calibri" w:hAnsiTheme="majorHAnsi" w:cstheme="majorHAnsi"/>
                <w:color w:val="008385"/>
              </w:rPr>
              <w:t>oroners, ICB's</w:t>
            </w:r>
            <w:r>
              <w:rPr>
                <w:rFonts w:asciiTheme="majorHAnsi" w:eastAsia="Calibri" w:hAnsiTheme="majorHAnsi" w:cstheme="majorHAnsi"/>
                <w:color w:val="008385"/>
              </w:rPr>
              <w:t>, Regulators</w:t>
            </w:r>
          </w:p>
        </w:tc>
      </w:tr>
      <w:tr w:rsidR="00B81935" w:rsidRPr="00BF0914" w14:paraId="194BD568" w14:textId="77777777" w:rsidTr="00D50598">
        <w:trPr>
          <w:trHeight w:val="1567"/>
          <w:jc w:val="center"/>
        </w:trPr>
        <w:tc>
          <w:tcPr>
            <w:tcW w:w="1925"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auto" w:fill="FFFFFF"/>
            <w:vAlign w:val="center"/>
          </w:tcPr>
          <w:p w14:paraId="30FA15EE" w14:textId="77777777" w:rsidR="00B81935" w:rsidRPr="00BF0914" w:rsidRDefault="00B81935" w:rsidP="004E7C88">
            <w:pPr>
              <w:spacing w:before="240" w:line="240" w:lineRule="auto"/>
              <w:jc w:val="center"/>
              <w:rPr>
                <w:rFonts w:asciiTheme="majorHAnsi" w:eastAsia="Calibri" w:hAnsiTheme="majorHAnsi" w:cstheme="majorHAnsi"/>
                <w:color w:val="000000" w:themeColor="text1"/>
              </w:rPr>
            </w:pPr>
            <w:r w:rsidRPr="00BF0914">
              <w:rPr>
                <w:rFonts w:asciiTheme="majorHAnsi" w:hAnsiTheme="majorHAnsi" w:cstheme="majorHAnsi"/>
                <w:noProof/>
                <w:lang w:eastAsia="en-GB"/>
              </w:rPr>
              <w:drawing>
                <wp:inline distT="0" distB="0" distL="0" distR="0" wp14:anchorId="0B70B0AA" wp14:editId="7D361EA7">
                  <wp:extent cx="1162315" cy="93825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194622" cy="964333"/>
                          </a:xfrm>
                          <a:prstGeom prst="rect">
                            <a:avLst/>
                          </a:prstGeom>
                        </pic:spPr>
                      </pic:pic>
                    </a:graphicData>
                  </a:graphic>
                </wp:inline>
              </w:drawing>
            </w:r>
          </w:p>
        </w:tc>
        <w:tc>
          <w:tcPr>
            <w:tcW w:w="8255"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auto" w:fill="FFFFFF"/>
          </w:tcPr>
          <w:p w14:paraId="0528260E" w14:textId="77777777" w:rsidR="00B81935" w:rsidRPr="00BF0914" w:rsidRDefault="00B81935" w:rsidP="004E7C88">
            <w:pPr>
              <w:spacing w:before="240" w:after="0" w:line="240" w:lineRule="auto"/>
              <w:ind w:left="281"/>
              <w:rPr>
                <w:rFonts w:asciiTheme="majorHAnsi" w:eastAsia="Calibri" w:hAnsiTheme="majorHAnsi" w:cstheme="majorHAnsi"/>
                <w:color w:val="008385"/>
              </w:rPr>
            </w:pPr>
            <w:r w:rsidRPr="00BF0914">
              <w:rPr>
                <w:rFonts w:asciiTheme="majorHAnsi" w:eastAsia="Calibri" w:hAnsiTheme="majorHAnsi" w:cstheme="majorHAnsi"/>
                <w:color w:val="008385"/>
              </w:rPr>
              <w:t>What Does It Say?</w:t>
            </w:r>
          </w:p>
          <w:p w14:paraId="70488B59" w14:textId="77777777" w:rsidR="00B81935" w:rsidRPr="00BF0914" w:rsidRDefault="00B81935" w:rsidP="004E7C88">
            <w:pPr>
              <w:pStyle w:val="ListParagraph"/>
              <w:spacing w:line="0" w:lineRule="atLeast"/>
              <w:rPr>
                <w:rFonts w:asciiTheme="majorHAnsi" w:eastAsia="Calibri" w:hAnsiTheme="majorHAnsi" w:cstheme="majorHAnsi"/>
                <w:color w:val="000000" w:themeColor="text1"/>
              </w:rPr>
            </w:pPr>
          </w:p>
          <w:p w14:paraId="2398002F" w14:textId="30F29A91" w:rsidR="00B81935" w:rsidRPr="00DC4895" w:rsidRDefault="00BF13AC" w:rsidP="00C84612">
            <w:pPr>
              <w:pStyle w:val="ListParagraph"/>
              <w:numPr>
                <w:ilvl w:val="0"/>
                <w:numId w:val="2"/>
              </w:numPr>
              <w:spacing w:line="0" w:lineRule="atLeast"/>
              <w:rPr>
                <w:rFonts w:asciiTheme="majorHAnsi" w:eastAsia="Calibri" w:hAnsiTheme="majorHAnsi" w:cstheme="majorHAnsi"/>
                <w:bCs/>
                <w:color w:val="000000" w:themeColor="text1"/>
              </w:rPr>
            </w:pPr>
            <w:r w:rsidRPr="00DC4895">
              <w:rPr>
                <w:rFonts w:asciiTheme="majorHAnsi" w:eastAsia="Calibri" w:hAnsiTheme="majorHAnsi" w:cstheme="majorHAnsi"/>
                <w:bCs/>
                <w:color w:val="000000" w:themeColor="text1"/>
              </w:rPr>
              <w:t xml:space="preserve">This policy outlines the organisations </w:t>
            </w:r>
            <w:r w:rsidR="00D93304" w:rsidRPr="00DC4895">
              <w:rPr>
                <w:rFonts w:asciiTheme="majorHAnsi" w:eastAsia="Calibri" w:hAnsiTheme="majorHAnsi" w:cstheme="majorHAnsi"/>
                <w:bCs/>
                <w:color w:val="000000" w:themeColor="text1"/>
              </w:rPr>
              <w:t>PSIRF strategy</w:t>
            </w:r>
            <w:r w:rsidR="00DC4895">
              <w:rPr>
                <w:rFonts w:asciiTheme="majorHAnsi" w:eastAsia="Calibri" w:hAnsiTheme="majorHAnsi" w:cstheme="majorHAnsi"/>
                <w:bCs/>
                <w:color w:val="000000" w:themeColor="text1"/>
              </w:rPr>
              <w:t>,</w:t>
            </w:r>
            <w:r w:rsidR="003A08B8">
              <w:rPr>
                <w:rFonts w:asciiTheme="majorHAnsi" w:eastAsia="Calibri" w:hAnsiTheme="majorHAnsi" w:cstheme="majorHAnsi"/>
                <w:bCs/>
                <w:color w:val="000000" w:themeColor="text1"/>
              </w:rPr>
              <w:t xml:space="preserve"> </w:t>
            </w:r>
            <w:r w:rsidR="003A08B8" w:rsidRPr="00BF0914">
              <w:t>patient safety</w:t>
            </w:r>
            <w:r w:rsidR="00DC4895">
              <w:rPr>
                <w:rFonts w:asciiTheme="majorHAnsi" w:eastAsia="Calibri" w:hAnsiTheme="majorHAnsi" w:cstheme="majorHAnsi"/>
                <w:bCs/>
                <w:color w:val="000000" w:themeColor="text1"/>
              </w:rPr>
              <w:t xml:space="preserve"> </w:t>
            </w:r>
            <w:r w:rsidR="00CA2997" w:rsidRPr="00DC4895">
              <w:rPr>
                <w:rFonts w:asciiTheme="majorHAnsi" w:eastAsia="Calibri" w:hAnsiTheme="majorHAnsi" w:cstheme="majorHAnsi"/>
                <w:bCs/>
                <w:color w:val="000000" w:themeColor="text1"/>
              </w:rPr>
              <w:t xml:space="preserve">incident reporting </w:t>
            </w:r>
            <w:r w:rsidR="007C48D0" w:rsidRPr="00DC4895">
              <w:rPr>
                <w:rFonts w:asciiTheme="majorHAnsi" w:eastAsia="Calibri" w:hAnsiTheme="majorHAnsi" w:cstheme="majorHAnsi"/>
                <w:bCs/>
                <w:color w:val="000000" w:themeColor="text1"/>
              </w:rPr>
              <w:t>processes</w:t>
            </w:r>
            <w:r w:rsidR="00DC4895">
              <w:rPr>
                <w:rFonts w:asciiTheme="majorHAnsi" w:eastAsia="Calibri" w:hAnsiTheme="majorHAnsi" w:cstheme="majorHAnsi"/>
                <w:bCs/>
                <w:color w:val="000000" w:themeColor="text1"/>
              </w:rPr>
              <w:t xml:space="preserve"> and responses. </w:t>
            </w:r>
          </w:p>
        </w:tc>
      </w:tr>
      <w:tr w:rsidR="00B81935" w:rsidRPr="00BF0914" w14:paraId="7B197FDF" w14:textId="77777777" w:rsidTr="00C84612">
        <w:trPr>
          <w:trHeight w:val="847"/>
          <w:jc w:val="center"/>
        </w:trPr>
        <w:tc>
          <w:tcPr>
            <w:tcW w:w="1925"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auto" w:fill="FFFFFF"/>
            <w:vAlign w:val="center"/>
          </w:tcPr>
          <w:p w14:paraId="0D46B174" w14:textId="77777777" w:rsidR="00B81935" w:rsidRPr="00BF0914" w:rsidRDefault="00B81935" w:rsidP="004E7C88">
            <w:pPr>
              <w:spacing w:before="240" w:line="240" w:lineRule="auto"/>
              <w:jc w:val="center"/>
              <w:rPr>
                <w:rFonts w:asciiTheme="majorHAnsi" w:eastAsia="Calibri" w:hAnsiTheme="majorHAnsi" w:cstheme="majorHAnsi"/>
                <w:color w:val="000000" w:themeColor="text1"/>
              </w:rPr>
            </w:pPr>
            <w:r w:rsidRPr="00BF0914">
              <w:rPr>
                <w:rFonts w:asciiTheme="majorHAnsi" w:hAnsiTheme="majorHAnsi" w:cstheme="majorHAnsi"/>
                <w:noProof/>
                <w:lang w:eastAsia="en-GB"/>
              </w:rPr>
              <w:drawing>
                <wp:inline distT="0" distB="0" distL="0" distR="0" wp14:anchorId="2042F604" wp14:editId="679585F8">
                  <wp:extent cx="673100" cy="683298"/>
                  <wp:effectExtent l="0" t="0" r="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89835" cy="700287"/>
                          </a:xfrm>
                          <a:prstGeom prst="rect">
                            <a:avLst/>
                          </a:prstGeom>
                        </pic:spPr>
                      </pic:pic>
                    </a:graphicData>
                  </a:graphic>
                </wp:inline>
              </w:drawing>
            </w:r>
          </w:p>
        </w:tc>
        <w:tc>
          <w:tcPr>
            <w:tcW w:w="8255"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auto" w:fill="FFFFFF"/>
          </w:tcPr>
          <w:p w14:paraId="6C126B3B" w14:textId="77777777" w:rsidR="00B81935" w:rsidRPr="00BF0914" w:rsidRDefault="00B81935" w:rsidP="004E7C88">
            <w:pPr>
              <w:spacing w:before="240" w:after="0" w:line="240" w:lineRule="auto"/>
              <w:ind w:left="281"/>
              <w:rPr>
                <w:rFonts w:asciiTheme="majorHAnsi" w:eastAsia="Calibri" w:hAnsiTheme="majorHAnsi" w:cstheme="majorHAnsi"/>
                <w:color w:val="008385"/>
              </w:rPr>
            </w:pPr>
            <w:r w:rsidRPr="00BF0914">
              <w:rPr>
                <w:rFonts w:asciiTheme="majorHAnsi" w:eastAsia="Calibri" w:hAnsiTheme="majorHAnsi" w:cstheme="majorHAnsi"/>
                <w:color w:val="008385"/>
              </w:rPr>
              <w:t>What Do I Need to Do?</w:t>
            </w:r>
          </w:p>
          <w:p w14:paraId="19A8AA33" w14:textId="77777777" w:rsidR="00B81935" w:rsidRPr="00BF0914" w:rsidRDefault="00B81935" w:rsidP="004E7C88">
            <w:pPr>
              <w:pStyle w:val="ListParagraph"/>
              <w:ind w:left="641"/>
              <w:rPr>
                <w:rFonts w:asciiTheme="majorHAnsi" w:eastAsia="Calibri" w:hAnsiTheme="majorHAnsi" w:cstheme="majorHAnsi"/>
                <w:color w:val="000000" w:themeColor="text1"/>
              </w:rPr>
            </w:pPr>
          </w:p>
          <w:p w14:paraId="7696326D" w14:textId="709825EB" w:rsidR="00B81935" w:rsidRPr="00BF0914" w:rsidRDefault="00237865" w:rsidP="00237865">
            <w:pPr>
              <w:pStyle w:val="ListParagraph"/>
              <w:numPr>
                <w:ilvl w:val="0"/>
                <w:numId w:val="1"/>
              </w:numPr>
              <w:rPr>
                <w:rFonts w:asciiTheme="majorHAnsi" w:eastAsia="Calibri" w:hAnsiTheme="majorHAnsi" w:cstheme="majorHAnsi"/>
                <w:color w:val="000000" w:themeColor="text1"/>
              </w:rPr>
            </w:pPr>
            <w:r w:rsidRPr="00BF0914">
              <w:rPr>
                <w:rFonts w:asciiTheme="majorHAnsi" w:eastAsia="Calibri" w:hAnsiTheme="majorHAnsi" w:cstheme="majorHAnsi"/>
                <w:color w:val="000000" w:themeColor="text1"/>
              </w:rPr>
              <w:t xml:space="preserve">Colleagues need to familiarise themselves with a general understanding of the </w:t>
            </w:r>
            <w:r w:rsidR="00C84612">
              <w:rPr>
                <w:rFonts w:asciiTheme="majorHAnsi" w:eastAsia="Calibri" w:hAnsiTheme="majorHAnsi" w:cstheme="majorHAnsi"/>
                <w:color w:val="000000" w:themeColor="text1"/>
              </w:rPr>
              <w:t xml:space="preserve">patient safety incident response </w:t>
            </w:r>
            <w:r w:rsidRPr="00BF0914">
              <w:rPr>
                <w:rFonts w:asciiTheme="majorHAnsi" w:eastAsia="Calibri" w:hAnsiTheme="majorHAnsi" w:cstheme="majorHAnsi"/>
                <w:color w:val="000000" w:themeColor="text1"/>
              </w:rPr>
              <w:t xml:space="preserve">process </w:t>
            </w:r>
            <w:r w:rsidR="003A08B8">
              <w:rPr>
                <w:rFonts w:asciiTheme="majorHAnsi" w:eastAsia="Calibri" w:hAnsiTheme="majorHAnsi" w:cstheme="majorHAnsi"/>
                <w:color w:val="000000" w:themeColor="text1"/>
              </w:rPr>
              <w:t>and the role that they play in this.</w:t>
            </w:r>
          </w:p>
        </w:tc>
      </w:tr>
      <w:tr w:rsidR="00B81935" w:rsidRPr="00BF0914" w14:paraId="319FC24E" w14:textId="77777777" w:rsidTr="00C84612">
        <w:trPr>
          <w:trHeight w:val="847"/>
          <w:jc w:val="center"/>
        </w:trPr>
        <w:tc>
          <w:tcPr>
            <w:tcW w:w="1925"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auto" w:fill="FFFFFF"/>
            <w:vAlign w:val="center"/>
          </w:tcPr>
          <w:p w14:paraId="1C4B8D05" w14:textId="77777777" w:rsidR="00B81935" w:rsidRPr="00BF0914" w:rsidRDefault="00B81935" w:rsidP="004E7C88">
            <w:pPr>
              <w:spacing w:before="240" w:line="240" w:lineRule="auto"/>
              <w:jc w:val="center"/>
              <w:rPr>
                <w:rFonts w:asciiTheme="majorHAnsi" w:eastAsia="Calibri" w:hAnsiTheme="majorHAnsi" w:cstheme="majorHAnsi"/>
                <w:color w:val="000000" w:themeColor="text1"/>
              </w:rPr>
            </w:pPr>
            <w:r w:rsidRPr="00BF0914">
              <w:rPr>
                <w:rFonts w:asciiTheme="majorHAnsi" w:hAnsiTheme="majorHAnsi" w:cstheme="majorHAnsi"/>
                <w:noProof/>
                <w:lang w:eastAsia="en-GB"/>
              </w:rPr>
              <w:drawing>
                <wp:inline distT="0" distB="0" distL="0" distR="0" wp14:anchorId="3633817F" wp14:editId="4D880286">
                  <wp:extent cx="854048" cy="654050"/>
                  <wp:effectExtent l="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871480" cy="667400"/>
                          </a:xfrm>
                          <a:prstGeom prst="rect">
                            <a:avLst/>
                          </a:prstGeom>
                        </pic:spPr>
                      </pic:pic>
                    </a:graphicData>
                  </a:graphic>
                </wp:inline>
              </w:drawing>
            </w:r>
          </w:p>
        </w:tc>
        <w:tc>
          <w:tcPr>
            <w:tcW w:w="8255"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auto" w:fill="FFFFFF"/>
          </w:tcPr>
          <w:p w14:paraId="196DA7CD" w14:textId="77777777" w:rsidR="00B81935" w:rsidRPr="00BF0914" w:rsidRDefault="00B81935" w:rsidP="004E7C88">
            <w:pPr>
              <w:spacing w:before="240" w:after="0" w:line="240" w:lineRule="auto"/>
              <w:ind w:left="281"/>
              <w:rPr>
                <w:rFonts w:asciiTheme="majorHAnsi" w:eastAsia="Calibri" w:hAnsiTheme="majorHAnsi" w:cstheme="majorHAnsi"/>
                <w:color w:val="008385"/>
              </w:rPr>
            </w:pPr>
            <w:r w:rsidRPr="00BF0914">
              <w:rPr>
                <w:rFonts w:asciiTheme="majorHAnsi" w:eastAsia="Calibri" w:hAnsiTheme="majorHAnsi" w:cstheme="majorHAnsi"/>
                <w:color w:val="008385"/>
              </w:rPr>
              <w:t>Further Information</w:t>
            </w:r>
          </w:p>
          <w:p w14:paraId="1ECB12AE" w14:textId="77777777" w:rsidR="00B81935" w:rsidRPr="00BF0914" w:rsidRDefault="00B81935" w:rsidP="004E7C88">
            <w:pPr>
              <w:pStyle w:val="ListParagraph"/>
              <w:ind w:left="641"/>
              <w:rPr>
                <w:rFonts w:asciiTheme="majorHAnsi" w:eastAsia="Calibri" w:hAnsiTheme="majorHAnsi" w:cstheme="majorHAnsi"/>
                <w:color w:val="000000" w:themeColor="text1"/>
              </w:rPr>
            </w:pPr>
          </w:p>
          <w:p w14:paraId="6F986151" w14:textId="29CEFB56" w:rsidR="00B81935" w:rsidRPr="00BF0914" w:rsidRDefault="00B81935" w:rsidP="00B81935">
            <w:pPr>
              <w:pStyle w:val="ListParagraph"/>
              <w:numPr>
                <w:ilvl w:val="0"/>
                <w:numId w:val="3"/>
              </w:numPr>
              <w:rPr>
                <w:rStyle w:val="Hyperlink"/>
                <w:rFonts w:asciiTheme="majorHAnsi" w:eastAsia="Calibri" w:hAnsiTheme="majorHAnsi" w:cstheme="majorHAnsi"/>
                <w:color w:val="000000" w:themeColor="text1"/>
                <w:u w:val="none"/>
              </w:rPr>
            </w:pPr>
            <w:r w:rsidRPr="00BF0914">
              <w:rPr>
                <w:rFonts w:asciiTheme="majorHAnsi" w:eastAsia="Calibri" w:hAnsiTheme="majorHAnsi" w:cstheme="majorHAnsi"/>
                <w:color w:val="000000" w:themeColor="text1"/>
              </w:rPr>
              <w:t xml:space="preserve">The full policy can be found on the intranet </w:t>
            </w:r>
          </w:p>
          <w:p w14:paraId="02688324" w14:textId="2150BBA0" w:rsidR="009502D5" w:rsidRPr="000269E6" w:rsidRDefault="009502D5" w:rsidP="00B81935">
            <w:pPr>
              <w:pStyle w:val="ListParagraph"/>
              <w:numPr>
                <w:ilvl w:val="0"/>
                <w:numId w:val="3"/>
              </w:numPr>
              <w:rPr>
                <w:rFonts w:asciiTheme="majorHAnsi" w:eastAsia="Calibri" w:hAnsiTheme="majorHAnsi" w:cstheme="majorHAnsi"/>
                <w:color w:val="008385"/>
              </w:rPr>
            </w:pPr>
            <w:r>
              <w:rPr>
                <w:rFonts w:asciiTheme="majorHAnsi" w:eastAsia="Calibri" w:hAnsiTheme="majorHAnsi" w:cstheme="majorHAnsi"/>
                <w:color w:val="000000" w:themeColor="text1"/>
              </w:rPr>
              <w:t xml:space="preserve">Speak to your governance lead </w:t>
            </w:r>
          </w:p>
          <w:p w14:paraId="43DA64E6" w14:textId="718B271D" w:rsidR="00237865" w:rsidRPr="002A02C7" w:rsidRDefault="00C84612" w:rsidP="00B81935">
            <w:pPr>
              <w:pStyle w:val="ListParagraph"/>
              <w:numPr>
                <w:ilvl w:val="0"/>
                <w:numId w:val="3"/>
              </w:numPr>
              <w:rPr>
                <w:rFonts w:asciiTheme="majorHAnsi" w:eastAsia="Calibri" w:hAnsiTheme="majorHAnsi" w:cstheme="majorHAnsi"/>
                <w:color w:val="008385"/>
              </w:rPr>
            </w:pPr>
            <w:r>
              <w:rPr>
                <w:rFonts w:asciiTheme="majorHAnsi" w:eastAsia="Calibri" w:hAnsiTheme="majorHAnsi" w:cstheme="majorHAnsi"/>
                <w:color w:val="000000" w:themeColor="text1"/>
              </w:rPr>
              <w:t xml:space="preserve">Deputy </w:t>
            </w:r>
            <w:r w:rsidR="00671985" w:rsidRPr="00BF0914">
              <w:rPr>
                <w:rFonts w:asciiTheme="majorHAnsi" w:eastAsia="Calibri" w:hAnsiTheme="majorHAnsi" w:cstheme="majorHAnsi"/>
                <w:color w:val="000000" w:themeColor="text1"/>
              </w:rPr>
              <w:t xml:space="preserve">Director of Integrated Quality Governance </w:t>
            </w:r>
          </w:p>
          <w:p w14:paraId="206DDC0E" w14:textId="77777777" w:rsidR="00B81935" w:rsidRPr="00BF0914" w:rsidRDefault="00B81935" w:rsidP="004E7C88">
            <w:pPr>
              <w:pStyle w:val="ListParagraph"/>
              <w:ind w:left="641"/>
              <w:rPr>
                <w:rFonts w:asciiTheme="majorHAnsi" w:eastAsia="Calibri" w:hAnsiTheme="majorHAnsi" w:cstheme="majorHAnsi"/>
                <w:color w:val="000000" w:themeColor="text1"/>
              </w:rPr>
            </w:pPr>
          </w:p>
        </w:tc>
      </w:tr>
      <w:tr w:rsidR="00B81935" w:rsidRPr="00BF0914" w14:paraId="3AB08BB9" w14:textId="77777777" w:rsidTr="00C84612">
        <w:trPr>
          <w:trHeight w:val="393"/>
          <w:jc w:val="center"/>
        </w:trPr>
        <w:tc>
          <w:tcPr>
            <w:tcW w:w="10180" w:type="dxa"/>
            <w:gridSpan w:val="2"/>
            <w:tcBorders>
              <w:top w:val="single" w:sz="4" w:space="0" w:color="7B7B7B" w:themeColor="accent3" w:themeShade="BF"/>
            </w:tcBorders>
            <w:shd w:val="clear" w:color="auto" w:fill="008385"/>
          </w:tcPr>
          <w:p w14:paraId="58EDED2C" w14:textId="77777777" w:rsidR="00B81935" w:rsidRPr="00BF0914" w:rsidRDefault="00B81935" w:rsidP="004E7C88">
            <w:pPr>
              <w:spacing w:after="0" w:line="240" w:lineRule="auto"/>
              <w:jc w:val="right"/>
              <w:rPr>
                <w:rFonts w:asciiTheme="majorHAnsi" w:eastAsia="Calibri" w:hAnsiTheme="majorHAnsi" w:cstheme="majorHAnsi"/>
                <w:color w:val="000000" w:themeColor="text1"/>
              </w:rPr>
            </w:pPr>
          </w:p>
        </w:tc>
      </w:tr>
    </w:tbl>
    <w:p w14:paraId="21ED10C6" w14:textId="77777777" w:rsidR="00405A90" w:rsidRPr="00BF0914" w:rsidRDefault="00405A90" w:rsidP="00074EAB">
      <w:pPr>
        <w:spacing w:after="0"/>
        <w:rPr>
          <w:rFonts w:asciiTheme="majorHAnsi" w:hAnsiTheme="majorHAnsi" w:cstheme="majorHAnsi"/>
        </w:rPr>
      </w:pPr>
    </w:p>
    <w:p w14:paraId="203CEFDB" w14:textId="77777777" w:rsidR="003443BC" w:rsidRDefault="003443BC" w:rsidP="001923F1">
      <w:pPr>
        <w:spacing w:before="14"/>
        <w:ind w:left="2111" w:right="2149"/>
        <w:jc w:val="center"/>
        <w:rPr>
          <w:rFonts w:asciiTheme="majorHAnsi" w:hAnsiTheme="majorHAnsi" w:cstheme="majorHAnsi"/>
          <w:b/>
        </w:rPr>
        <w:sectPr w:rsidR="003443BC" w:rsidSect="00B16B2F">
          <w:footerReference w:type="default" r:id="rId19"/>
          <w:pgSz w:w="11910" w:h="16840"/>
          <w:pgMar w:top="567" w:right="840" w:bottom="142" w:left="880" w:header="0" w:footer="702" w:gutter="0"/>
          <w:cols w:space="720"/>
        </w:sectPr>
      </w:pPr>
    </w:p>
    <w:p w14:paraId="5F918C27" w14:textId="1235153C" w:rsidR="001923F1" w:rsidRDefault="001923F1" w:rsidP="001923F1">
      <w:pPr>
        <w:spacing w:before="14"/>
        <w:ind w:left="2111" w:right="2149"/>
        <w:jc w:val="center"/>
        <w:rPr>
          <w:rFonts w:asciiTheme="majorHAnsi" w:hAnsiTheme="majorHAnsi" w:cstheme="majorHAnsi"/>
          <w:b/>
        </w:rPr>
      </w:pPr>
      <w:r w:rsidRPr="00BF0914">
        <w:rPr>
          <w:rFonts w:asciiTheme="majorHAnsi" w:hAnsiTheme="majorHAnsi" w:cstheme="majorHAnsi"/>
          <w:b/>
        </w:rPr>
        <w:lastRenderedPageBreak/>
        <w:t>TABLE</w:t>
      </w:r>
      <w:r w:rsidRPr="00BF0914">
        <w:rPr>
          <w:rFonts w:asciiTheme="majorHAnsi" w:hAnsiTheme="majorHAnsi" w:cstheme="majorHAnsi"/>
          <w:b/>
          <w:spacing w:val="-5"/>
        </w:rPr>
        <w:t xml:space="preserve"> </w:t>
      </w:r>
      <w:r w:rsidRPr="00BF0914">
        <w:rPr>
          <w:rFonts w:asciiTheme="majorHAnsi" w:hAnsiTheme="majorHAnsi" w:cstheme="majorHAnsi"/>
          <w:b/>
        </w:rPr>
        <w:t>OF</w:t>
      </w:r>
      <w:r w:rsidRPr="00BF0914">
        <w:rPr>
          <w:rFonts w:asciiTheme="majorHAnsi" w:hAnsiTheme="majorHAnsi" w:cstheme="majorHAnsi"/>
          <w:b/>
          <w:spacing w:val="-2"/>
        </w:rPr>
        <w:t xml:space="preserve"> </w:t>
      </w:r>
      <w:r w:rsidRPr="00BF0914">
        <w:rPr>
          <w:rFonts w:asciiTheme="majorHAnsi" w:hAnsiTheme="majorHAnsi" w:cstheme="majorHAnsi"/>
          <w:b/>
        </w:rPr>
        <w:t>CONTENTS</w:t>
      </w:r>
    </w:p>
    <w:p w14:paraId="3C96FE23" w14:textId="234D892D" w:rsidR="00D454FF" w:rsidRPr="00D454FF" w:rsidRDefault="003443BC">
      <w:pPr>
        <w:pStyle w:val="TOC1"/>
        <w:tabs>
          <w:tab w:val="left" w:pos="660"/>
          <w:tab w:val="right" w:leader="dot" w:pos="10180"/>
        </w:tabs>
        <w:rPr>
          <w:rFonts w:eastAsiaTheme="minorEastAsia" w:cstheme="minorBidi"/>
          <w:b w:val="0"/>
          <w:caps w:val="0"/>
          <w:noProof/>
          <w:kern w:val="2"/>
          <w:sz w:val="24"/>
          <w:szCs w:val="24"/>
          <w:lang w:eastAsia="en-GB"/>
          <w14:ligatures w14:val="standardContextual"/>
        </w:rPr>
      </w:pPr>
      <w:r w:rsidRPr="00D454FF">
        <w:rPr>
          <w:rFonts w:asciiTheme="majorHAnsi" w:hAnsiTheme="majorHAnsi" w:cstheme="majorHAnsi"/>
          <w:b w:val="0"/>
        </w:rPr>
        <w:fldChar w:fldCharType="begin"/>
      </w:r>
      <w:r w:rsidRPr="00D454FF">
        <w:rPr>
          <w:rFonts w:asciiTheme="majorHAnsi" w:hAnsiTheme="majorHAnsi" w:cstheme="majorHAnsi"/>
          <w:b w:val="0"/>
        </w:rPr>
        <w:instrText xml:space="preserve"> TOC \o "1-1" \h \z \u </w:instrText>
      </w:r>
      <w:r w:rsidRPr="00D454FF">
        <w:rPr>
          <w:rFonts w:asciiTheme="majorHAnsi" w:hAnsiTheme="majorHAnsi" w:cstheme="majorHAnsi"/>
          <w:b w:val="0"/>
        </w:rPr>
        <w:fldChar w:fldCharType="separate"/>
      </w:r>
      <w:hyperlink w:anchor="_Toc159429848" w:history="1">
        <w:r w:rsidR="00D454FF" w:rsidRPr="00D454FF">
          <w:rPr>
            <w:rStyle w:val="Hyperlink"/>
            <w:b w:val="0"/>
            <w:noProof/>
          </w:rPr>
          <w:t>1.0</w:t>
        </w:r>
        <w:r w:rsidR="00D454FF" w:rsidRPr="00D454FF">
          <w:rPr>
            <w:rFonts w:eastAsiaTheme="minorEastAsia" w:cstheme="minorBidi"/>
            <w:b w:val="0"/>
            <w:caps w:val="0"/>
            <w:noProof/>
            <w:kern w:val="2"/>
            <w:sz w:val="24"/>
            <w:szCs w:val="24"/>
            <w:lang w:eastAsia="en-GB"/>
            <w14:ligatures w14:val="standardContextual"/>
          </w:rPr>
          <w:tab/>
        </w:r>
        <w:r w:rsidR="00D454FF" w:rsidRPr="00D454FF">
          <w:rPr>
            <w:rStyle w:val="Hyperlink"/>
            <w:b w:val="0"/>
            <w:noProof/>
          </w:rPr>
          <w:t>purpose</w:t>
        </w:r>
        <w:r w:rsidR="00D454FF" w:rsidRPr="00D454FF">
          <w:rPr>
            <w:b w:val="0"/>
            <w:noProof/>
            <w:webHidden/>
          </w:rPr>
          <w:tab/>
        </w:r>
        <w:r w:rsidR="00D454FF" w:rsidRPr="00D454FF">
          <w:rPr>
            <w:b w:val="0"/>
            <w:noProof/>
            <w:webHidden/>
          </w:rPr>
          <w:fldChar w:fldCharType="begin"/>
        </w:r>
        <w:r w:rsidR="00D454FF" w:rsidRPr="00D454FF">
          <w:rPr>
            <w:b w:val="0"/>
            <w:noProof/>
            <w:webHidden/>
          </w:rPr>
          <w:instrText xml:space="preserve"> PAGEREF _Toc159429848 \h </w:instrText>
        </w:r>
        <w:r w:rsidR="00D454FF" w:rsidRPr="00D454FF">
          <w:rPr>
            <w:b w:val="0"/>
            <w:noProof/>
            <w:webHidden/>
          </w:rPr>
        </w:r>
        <w:r w:rsidR="00D454FF" w:rsidRPr="00D454FF">
          <w:rPr>
            <w:b w:val="0"/>
            <w:noProof/>
            <w:webHidden/>
          </w:rPr>
          <w:fldChar w:fldCharType="separate"/>
        </w:r>
        <w:r w:rsidR="00AB2AC6">
          <w:rPr>
            <w:b w:val="0"/>
            <w:noProof/>
            <w:webHidden/>
          </w:rPr>
          <w:t>4</w:t>
        </w:r>
        <w:r w:rsidR="00D454FF" w:rsidRPr="00D454FF">
          <w:rPr>
            <w:b w:val="0"/>
            <w:noProof/>
            <w:webHidden/>
          </w:rPr>
          <w:fldChar w:fldCharType="end"/>
        </w:r>
      </w:hyperlink>
    </w:p>
    <w:p w14:paraId="07A05DBC" w14:textId="0FB08E9C" w:rsidR="00D454FF" w:rsidRPr="00D454FF" w:rsidRDefault="0034538A">
      <w:pPr>
        <w:pStyle w:val="TOC1"/>
        <w:tabs>
          <w:tab w:val="left" w:pos="660"/>
          <w:tab w:val="right" w:leader="dot" w:pos="10180"/>
        </w:tabs>
        <w:rPr>
          <w:rFonts w:eastAsiaTheme="minorEastAsia" w:cstheme="minorBidi"/>
          <w:b w:val="0"/>
          <w:caps w:val="0"/>
          <w:noProof/>
          <w:kern w:val="2"/>
          <w:sz w:val="24"/>
          <w:szCs w:val="24"/>
          <w:lang w:eastAsia="en-GB"/>
          <w14:ligatures w14:val="standardContextual"/>
        </w:rPr>
      </w:pPr>
      <w:hyperlink w:anchor="_Toc159429849" w:history="1">
        <w:r w:rsidR="00D454FF" w:rsidRPr="00D454FF">
          <w:rPr>
            <w:rStyle w:val="Hyperlink"/>
            <w:b w:val="0"/>
            <w:noProof/>
          </w:rPr>
          <w:t>2.0</w:t>
        </w:r>
        <w:r w:rsidR="00D454FF" w:rsidRPr="00D454FF">
          <w:rPr>
            <w:rFonts w:eastAsiaTheme="minorEastAsia" w:cstheme="minorBidi"/>
            <w:b w:val="0"/>
            <w:caps w:val="0"/>
            <w:noProof/>
            <w:kern w:val="2"/>
            <w:sz w:val="24"/>
            <w:szCs w:val="24"/>
            <w:lang w:eastAsia="en-GB"/>
            <w14:ligatures w14:val="standardContextual"/>
          </w:rPr>
          <w:tab/>
        </w:r>
        <w:r w:rsidR="00D454FF" w:rsidRPr="00D454FF">
          <w:rPr>
            <w:rStyle w:val="Hyperlink"/>
            <w:b w:val="0"/>
            <w:noProof/>
          </w:rPr>
          <w:t>Scope</w:t>
        </w:r>
        <w:r w:rsidR="00D454FF" w:rsidRPr="00D454FF">
          <w:rPr>
            <w:b w:val="0"/>
            <w:noProof/>
            <w:webHidden/>
          </w:rPr>
          <w:tab/>
        </w:r>
        <w:r w:rsidR="00D454FF" w:rsidRPr="00D454FF">
          <w:rPr>
            <w:b w:val="0"/>
            <w:noProof/>
            <w:webHidden/>
          </w:rPr>
          <w:fldChar w:fldCharType="begin"/>
        </w:r>
        <w:r w:rsidR="00D454FF" w:rsidRPr="00D454FF">
          <w:rPr>
            <w:b w:val="0"/>
            <w:noProof/>
            <w:webHidden/>
          </w:rPr>
          <w:instrText xml:space="preserve"> PAGEREF _Toc159429849 \h </w:instrText>
        </w:r>
        <w:r w:rsidR="00D454FF" w:rsidRPr="00D454FF">
          <w:rPr>
            <w:b w:val="0"/>
            <w:noProof/>
            <w:webHidden/>
          </w:rPr>
        </w:r>
        <w:r w:rsidR="00D454FF" w:rsidRPr="00D454FF">
          <w:rPr>
            <w:b w:val="0"/>
            <w:noProof/>
            <w:webHidden/>
          </w:rPr>
          <w:fldChar w:fldCharType="separate"/>
        </w:r>
        <w:r w:rsidR="00AB2AC6">
          <w:rPr>
            <w:b w:val="0"/>
            <w:noProof/>
            <w:webHidden/>
          </w:rPr>
          <w:t>4</w:t>
        </w:r>
        <w:r w:rsidR="00D454FF" w:rsidRPr="00D454FF">
          <w:rPr>
            <w:b w:val="0"/>
            <w:noProof/>
            <w:webHidden/>
          </w:rPr>
          <w:fldChar w:fldCharType="end"/>
        </w:r>
      </w:hyperlink>
    </w:p>
    <w:p w14:paraId="2E38A0AF" w14:textId="07CB95F1" w:rsidR="00D454FF" w:rsidRPr="00D454FF" w:rsidRDefault="0034538A">
      <w:pPr>
        <w:pStyle w:val="TOC1"/>
        <w:tabs>
          <w:tab w:val="left" w:pos="660"/>
          <w:tab w:val="right" w:leader="dot" w:pos="10180"/>
        </w:tabs>
        <w:rPr>
          <w:rFonts w:eastAsiaTheme="minorEastAsia" w:cstheme="minorBidi"/>
          <w:b w:val="0"/>
          <w:caps w:val="0"/>
          <w:noProof/>
          <w:kern w:val="2"/>
          <w:sz w:val="24"/>
          <w:szCs w:val="24"/>
          <w:lang w:eastAsia="en-GB"/>
          <w14:ligatures w14:val="standardContextual"/>
        </w:rPr>
      </w:pPr>
      <w:hyperlink w:anchor="_Toc159429850" w:history="1">
        <w:r w:rsidR="00D454FF" w:rsidRPr="00D454FF">
          <w:rPr>
            <w:rStyle w:val="Hyperlink"/>
            <w:b w:val="0"/>
            <w:noProof/>
          </w:rPr>
          <w:t>3.0</w:t>
        </w:r>
        <w:r w:rsidR="00D454FF" w:rsidRPr="00D454FF">
          <w:rPr>
            <w:rFonts w:eastAsiaTheme="minorEastAsia" w:cstheme="minorBidi"/>
            <w:b w:val="0"/>
            <w:caps w:val="0"/>
            <w:noProof/>
            <w:kern w:val="2"/>
            <w:sz w:val="24"/>
            <w:szCs w:val="24"/>
            <w:lang w:eastAsia="en-GB"/>
            <w14:ligatures w14:val="standardContextual"/>
          </w:rPr>
          <w:tab/>
        </w:r>
        <w:r w:rsidR="00D454FF" w:rsidRPr="00D454FF">
          <w:rPr>
            <w:rStyle w:val="Hyperlink"/>
            <w:b w:val="0"/>
            <w:noProof/>
          </w:rPr>
          <w:t>Our patient safety culture</w:t>
        </w:r>
        <w:r w:rsidR="00D454FF" w:rsidRPr="00D454FF">
          <w:rPr>
            <w:b w:val="0"/>
            <w:noProof/>
            <w:webHidden/>
          </w:rPr>
          <w:tab/>
        </w:r>
        <w:r w:rsidR="00D454FF" w:rsidRPr="00D454FF">
          <w:rPr>
            <w:b w:val="0"/>
            <w:noProof/>
            <w:webHidden/>
          </w:rPr>
          <w:fldChar w:fldCharType="begin"/>
        </w:r>
        <w:r w:rsidR="00D454FF" w:rsidRPr="00D454FF">
          <w:rPr>
            <w:b w:val="0"/>
            <w:noProof/>
            <w:webHidden/>
          </w:rPr>
          <w:instrText xml:space="preserve"> PAGEREF _Toc159429850 \h </w:instrText>
        </w:r>
        <w:r w:rsidR="00D454FF" w:rsidRPr="00D454FF">
          <w:rPr>
            <w:b w:val="0"/>
            <w:noProof/>
            <w:webHidden/>
          </w:rPr>
        </w:r>
        <w:r w:rsidR="00D454FF" w:rsidRPr="00D454FF">
          <w:rPr>
            <w:b w:val="0"/>
            <w:noProof/>
            <w:webHidden/>
          </w:rPr>
          <w:fldChar w:fldCharType="separate"/>
        </w:r>
        <w:r w:rsidR="00AB2AC6">
          <w:rPr>
            <w:b w:val="0"/>
            <w:noProof/>
            <w:webHidden/>
          </w:rPr>
          <w:t>5</w:t>
        </w:r>
        <w:r w:rsidR="00D454FF" w:rsidRPr="00D454FF">
          <w:rPr>
            <w:b w:val="0"/>
            <w:noProof/>
            <w:webHidden/>
          </w:rPr>
          <w:fldChar w:fldCharType="end"/>
        </w:r>
      </w:hyperlink>
    </w:p>
    <w:p w14:paraId="4D791391" w14:textId="1CB20EF9" w:rsidR="00D454FF" w:rsidRPr="00D454FF" w:rsidRDefault="0034538A">
      <w:pPr>
        <w:pStyle w:val="TOC1"/>
        <w:tabs>
          <w:tab w:val="left" w:pos="660"/>
          <w:tab w:val="right" w:leader="dot" w:pos="10180"/>
        </w:tabs>
        <w:rPr>
          <w:rFonts w:eastAsiaTheme="minorEastAsia" w:cstheme="minorBidi"/>
          <w:b w:val="0"/>
          <w:caps w:val="0"/>
          <w:noProof/>
          <w:kern w:val="2"/>
          <w:sz w:val="24"/>
          <w:szCs w:val="24"/>
          <w:lang w:eastAsia="en-GB"/>
          <w14:ligatures w14:val="standardContextual"/>
        </w:rPr>
      </w:pPr>
      <w:hyperlink w:anchor="_Toc159429851" w:history="1">
        <w:r w:rsidR="00D454FF" w:rsidRPr="00D454FF">
          <w:rPr>
            <w:rStyle w:val="Hyperlink"/>
            <w:b w:val="0"/>
            <w:noProof/>
          </w:rPr>
          <w:t>4.0</w:t>
        </w:r>
        <w:r w:rsidR="00D454FF" w:rsidRPr="00D454FF">
          <w:rPr>
            <w:rFonts w:eastAsiaTheme="minorEastAsia" w:cstheme="minorBidi"/>
            <w:b w:val="0"/>
            <w:caps w:val="0"/>
            <w:noProof/>
            <w:kern w:val="2"/>
            <w:sz w:val="24"/>
            <w:szCs w:val="24"/>
            <w:lang w:eastAsia="en-GB"/>
            <w14:ligatures w14:val="standardContextual"/>
          </w:rPr>
          <w:tab/>
        </w:r>
        <w:r w:rsidR="00D454FF" w:rsidRPr="00D454FF">
          <w:rPr>
            <w:rStyle w:val="Hyperlink"/>
            <w:b w:val="0"/>
            <w:noProof/>
          </w:rPr>
          <w:t>PATIENT SAFETY PARTNERS</w:t>
        </w:r>
        <w:r w:rsidR="00D454FF" w:rsidRPr="00D454FF">
          <w:rPr>
            <w:b w:val="0"/>
            <w:noProof/>
            <w:webHidden/>
          </w:rPr>
          <w:tab/>
        </w:r>
        <w:r w:rsidR="00D454FF" w:rsidRPr="00D454FF">
          <w:rPr>
            <w:b w:val="0"/>
            <w:noProof/>
            <w:webHidden/>
          </w:rPr>
          <w:fldChar w:fldCharType="begin"/>
        </w:r>
        <w:r w:rsidR="00D454FF" w:rsidRPr="00D454FF">
          <w:rPr>
            <w:b w:val="0"/>
            <w:noProof/>
            <w:webHidden/>
          </w:rPr>
          <w:instrText xml:space="preserve"> PAGEREF _Toc159429851 \h </w:instrText>
        </w:r>
        <w:r w:rsidR="00D454FF" w:rsidRPr="00D454FF">
          <w:rPr>
            <w:b w:val="0"/>
            <w:noProof/>
            <w:webHidden/>
          </w:rPr>
        </w:r>
        <w:r w:rsidR="00D454FF" w:rsidRPr="00D454FF">
          <w:rPr>
            <w:b w:val="0"/>
            <w:noProof/>
            <w:webHidden/>
          </w:rPr>
          <w:fldChar w:fldCharType="separate"/>
        </w:r>
        <w:r w:rsidR="00AB2AC6">
          <w:rPr>
            <w:b w:val="0"/>
            <w:noProof/>
            <w:webHidden/>
          </w:rPr>
          <w:t>7</w:t>
        </w:r>
        <w:r w:rsidR="00D454FF" w:rsidRPr="00D454FF">
          <w:rPr>
            <w:b w:val="0"/>
            <w:noProof/>
            <w:webHidden/>
          </w:rPr>
          <w:fldChar w:fldCharType="end"/>
        </w:r>
      </w:hyperlink>
    </w:p>
    <w:p w14:paraId="38F09225" w14:textId="3133EBA6" w:rsidR="00D454FF" w:rsidRPr="00D454FF" w:rsidRDefault="0034538A">
      <w:pPr>
        <w:pStyle w:val="TOC1"/>
        <w:tabs>
          <w:tab w:val="left" w:pos="660"/>
          <w:tab w:val="right" w:leader="dot" w:pos="10180"/>
        </w:tabs>
        <w:rPr>
          <w:rFonts w:eastAsiaTheme="minorEastAsia" w:cstheme="minorBidi"/>
          <w:b w:val="0"/>
          <w:caps w:val="0"/>
          <w:noProof/>
          <w:kern w:val="2"/>
          <w:sz w:val="24"/>
          <w:szCs w:val="24"/>
          <w:lang w:eastAsia="en-GB"/>
          <w14:ligatures w14:val="standardContextual"/>
        </w:rPr>
      </w:pPr>
      <w:hyperlink w:anchor="_Toc159429852" w:history="1">
        <w:r w:rsidR="00D454FF" w:rsidRPr="00D454FF">
          <w:rPr>
            <w:rStyle w:val="Hyperlink"/>
            <w:b w:val="0"/>
            <w:noProof/>
          </w:rPr>
          <w:t>5.0</w:t>
        </w:r>
        <w:r w:rsidR="00D454FF" w:rsidRPr="00D454FF">
          <w:rPr>
            <w:rFonts w:eastAsiaTheme="minorEastAsia" w:cstheme="minorBidi"/>
            <w:b w:val="0"/>
            <w:caps w:val="0"/>
            <w:noProof/>
            <w:kern w:val="2"/>
            <w:sz w:val="24"/>
            <w:szCs w:val="24"/>
            <w:lang w:eastAsia="en-GB"/>
            <w14:ligatures w14:val="standardContextual"/>
          </w:rPr>
          <w:tab/>
        </w:r>
        <w:r w:rsidR="00D454FF" w:rsidRPr="00D454FF">
          <w:rPr>
            <w:rStyle w:val="Hyperlink"/>
            <w:b w:val="0"/>
            <w:noProof/>
          </w:rPr>
          <w:t>Addressing health inequalities</w:t>
        </w:r>
        <w:r w:rsidR="00D454FF" w:rsidRPr="00D454FF">
          <w:rPr>
            <w:b w:val="0"/>
            <w:noProof/>
            <w:webHidden/>
          </w:rPr>
          <w:tab/>
        </w:r>
        <w:r w:rsidR="00D454FF" w:rsidRPr="00D454FF">
          <w:rPr>
            <w:b w:val="0"/>
            <w:noProof/>
            <w:webHidden/>
          </w:rPr>
          <w:fldChar w:fldCharType="begin"/>
        </w:r>
        <w:r w:rsidR="00D454FF" w:rsidRPr="00D454FF">
          <w:rPr>
            <w:b w:val="0"/>
            <w:noProof/>
            <w:webHidden/>
          </w:rPr>
          <w:instrText xml:space="preserve"> PAGEREF _Toc159429852 \h </w:instrText>
        </w:r>
        <w:r w:rsidR="00D454FF" w:rsidRPr="00D454FF">
          <w:rPr>
            <w:b w:val="0"/>
            <w:noProof/>
            <w:webHidden/>
          </w:rPr>
        </w:r>
        <w:r w:rsidR="00D454FF" w:rsidRPr="00D454FF">
          <w:rPr>
            <w:b w:val="0"/>
            <w:noProof/>
            <w:webHidden/>
          </w:rPr>
          <w:fldChar w:fldCharType="separate"/>
        </w:r>
        <w:r w:rsidR="00AB2AC6">
          <w:rPr>
            <w:b w:val="0"/>
            <w:noProof/>
            <w:webHidden/>
          </w:rPr>
          <w:t>7</w:t>
        </w:r>
        <w:r w:rsidR="00D454FF" w:rsidRPr="00D454FF">
          <w:rPr>
            <w:b w:val="0"/>
            <w:noProof/>
            <w:webHidden/>
          </w:rPr>
          <w:fldChar w:fldCharType="end"/>
        </w:r>
      </w:hyperlink>
    </w:p>
    <w:p w14:paraId="00236193" w14:textId="573A70A8" w:rsidR="00D454FF" w:rsidRPr="00D454FF" w:rsidRDefault="0034538A">
      <w:pPr>
        <w:pStyle w:val="TOC1"/>
        <w:tabs>
          <w:tab w:val="left" w:pos="660"/>
          <w:tab w:val="right" w:leader="dot" w:pos="10180"/>
        </w:tabs>
        <w:rPr>
          <w:rFonts w:eastAsiaTheme="minorEastAsia" w:cstheme="minorBidi"/>
          <w:b w:val="0"/>
          <w:caps w:val="0"/>
          <w:noProof/>
          <w:kern w:val="2"/>
          <w:sz w:val="24"/>
          <w:szCs w:val="24"/>
          <w:lang w:eastAsia="en-GB"/>
          <w14:ligatures w14:val="standardContextual"/>
        </w:rPr>
      </w:pPr>
      <w:hyperlink w:anchor="_Toc159429853" w:history="1">
        <w:r w:rsidR="00D454FF" w:rsidRPr="00D454FF">
          <w:rPr>
            <w:rStyle w:val="Hyperlink"/>
            <w:b w:val="0"/>
            <w:noProof/>
          </w:rPr>
          <w:t>6.0</w:t>
        </w:r>
        <w:r w:rsidR="00D454FF" w:rsidRPr="00D454FF">
          <w:rPr>
            <w:rFonts w:eastAsiaTheme="minorEastAsia" w:cstheme="minorBidi"/>
            <w:b w:val="0"/>
            <w:caps w:val="0"/>
            <w:noProof/>
            <w:kern w:val="2"/>
            <w:sz w:val="24"/>
            <w:szCs w:val="24"/>
            <w:lang w:eastAsia="en-GB"/>
            <w14:ligatures w14:val="standardContextual"/>
          </w:rPr>
          <w:tab/>
        </w:r>
        <w:r w:rsidR="00D454FF" w:rsidRPr="00D454FF">
          <w:rPr>
            <w:rStyle w:val="Hyperlink"/>
            <w:b w:val="0"/>
            <w:noProof/>
          </w:rPr>
          <w:t>ENGAGING AND INVOLVING PATIENTS, FAMILIES, COLLEAGUES and CONSULTANT PARTNERS FOLLOWING A PATIENT SAFETY INCIDENT</w:t>
        </w:r>
        <w:r w:rsidR="00D454FF" w:rsidRPr="00D454FF">
          <w:rPr>
            <w:b w:val="0"/>
            <w:noProof/>
            <w:webHidden/>
          </w:rPr>
          <w:tab/>
        </w:r>
        <w:r w:rsidR="00D454FF" w:rsidRPr="00D454FF">
          <w:rPr>
            <w:b w:val="0"/>
            <w:noProof/>
            <w:webHidden/>
          </w:rPr>
          <w:fldChar w:fldCharType="begin"/>
        </w:r>
        <w:r w:rsidR="00D454FF" w:rsidRPr="00D454FF">
          <w:rPr>
            <w:b w:val="0"/>
            <w:noProof/>
            <w:webHidden/>
          </w:rPr>
          <w:instrText xml:space="preserve"> PAGEREF _Toc159429853 \h </w:instrText>
        </w:r>
        <w:r w:rsidR="00D454FF" w:rsidRPr="00D454FF">
          <w:rPr>
            <w:b w:val="0"/>
            <w:noProof/>
            <w:webHidden/>
          </w:rPr>
        </w:r>
        <w:r w:rsidR="00D454FF" w:rsidRPr="00D454FF">
          <w:rPr>
            <w:b w:val="0"/>
            <w:noProof/>
            <w:webHidden/>
          </w:rPr>
          <w:fldChar w:fldCharType="separate"/>
        </w:r>
        <w:r w:rsidR="00AB2AC6">
          <w:rPr>
            <w:b w:val="0"/>
            <w:noProof/>
            <w:webHidden/>
          </w:rPr>
          <w:t>8</w:t>
        </w:r>
        <w:r w:rsidR="00D454FF" w:rsidRPr="00D454FF">
          <w:rPr>
            <w:b w:val="0"/>
            <w:noProof/>
            <w:webHidden/>
          </w:rPr>
          <w:fldChar w:fldCharType="end"/>
        </w:r>
      </w:hyperlink>
    </w:p>
    <w:p w14:paraId="6862E67E" w14:textId="4C3C4AA3" w:rsidR="00D454FF" w:rsidRPr="00D454FF" w:rsidRDefault="0034538A">
      <w:pPr>
        <w:pStyle w:val="TOC1"/>
        <w:tabs>
          <w:tab w:val="left" w:pos="660"/>
          <w:tab w:val="right" w:leader="dot" w:pos="10180"/>
        </w:tabs>
        <w:rPr>
          <w:rFonts w:eastAsiaTheme="minorEastAsia" w:cstheme="minorBidi"/>
          <w:b w:val="0"/>
          <w:caps w:val="0"/>
          <w:noProof/>
          <w:kern w:val="2"/>
          <w:sz w:val="24"/>
          <w:szCs w:val="24"/>
          <w:lang w:eastAsia="en-GB"/>
          <w14:ligatures w14:val="standardContextual"/>
        </w:rPr>
      </w:pPr>
      <w:hyperlink w:anchor="_Toc159429854" w:history="1">
        <w:r w:rsidR="00D454FF" w:rsidRPr="00D454FF">
          <w:rPr>
            <w:rStyle w:val="Hyperlink"/>
            <w:b w:val="0"/>
            <w:noProof/>
          </w:rPr>
          <w:t>7.0</w:t>
        </w:r>
        <w:r w:rsidR="00D454FF" w:rsidRPr="00D454FF">
          <w:rPr>
            <w:rFonts w:eastAsiaTheme="minorEastAsia" w:cstheme="minorBidi"/>
            <w:b w:val="0"/>
            <w:caps w:val="0"/>
            <w:noProof/>
            <w:kern w:val="2"/>
            <w:sz w:val="24"/>
            <w:szCs w:val="24"/>
            <w:lang w:eastAsia="en-GB"/>
            <w14:ligatures w14:val="standardContextual"/>
          </w:rPr>
          <w:tab/>
        </w:r>
        <w:r w:rsidR="00D454FF" w:rsidRPr="00D454FF">
          <w:rPr>
            <w:rStyle w:val="Hyperlink"/>
            <w:b w:val="0"/>
            <w:noProof/>
          </w:rPr>
          <w:t>PATIENT SAFETY INCIDENT RESPONSE PLANNING</w:t>
        </w:r>
        <w:r w:rsidR="00D454FF" w:rsidRPr="00D454FF">
          <w:rPr>
            <w:b w:val="0"/>
            <w:noProof/>
            <w:webHidden/>
          </w:rPr>
          <w:tab/>
        </w:r>
        <w:r w:rsidR="00D454FF" w:rsidRPr="00D454FF">
          <w:rPr>
            <w:b w:val="0"/>
            <w:noProof/>
            <w:webHidden/>
          </w:rPr>
          <w:fldChar w:fldCharType="begin"/>
        </w:r>
        <w:r w:rsidR="00D454FF" w:rsidRPr="00D454FF">
          <w:rPr>
            <w:b w:val="0"/>
            <w:noProof/>
            <w:webHidden/>
          </w:rPr>
          <w:instrText xml:space="preserve"> PAGEREF _Toc159429854 \h </w:instrText>
        </w:r>
        <w:r w:rsidR="00D454FF" w:rsidRPr="00D454FF">
          <w:rPr>
            <w:b w:val="0"/>
            <w:noProof/>
            <w:webHidden/>
          </w:rPr>
        </w:r>
        <w:r w:rsidR="00D454FF" w:rsidRPr="00D454FF">
          <w:rPr>
            <w:b w:val="0"/>
            <w:noProof/>
            <w:webHidden/>
          </w:rPr>
          <w:fldChar w:fldCharType="separate"/>
        </w:r>
        <w:r w:rsidR="00AB2AC6">
          <w:rPr>
            <w:b w:val="0"/>
            <w:noProof/>
            <w:webHidden/>
          </w:rPr>
          <w:t>9</w:t>
        </w:r>
        <w:r w:rsidR="00D454FF" w:rsidRPr="00D454FF">
          <w:rPr>
            <w:b w:val="0"/>
            <w:noProof/>
            <w:webHidden/>
          </w:rPr>
          <w:fldChar w:fldCharType="end"/>
        </w:r>
      </w:hyperlink>
    </w:p>
    <w:p w14:paraId="3531626B" w14:textId="528C2E5E" w:rsidR="00D454FF" w:rsidRPr="00D454FF" w:rsidRDefault="0034538A">
      <w:pPr>
        <w:pStyle w:val="TOC1"/>
        <w:tabs>
          <w:tab w:val="left" w:pos="660"/>
          <w:tab w:val="right" w:leader="dot" w:pos="10180"/>
        </w:tabs>
        <w:rPr>
          <w:rFonts w:eastAsiaTheme="minorEastAsia" w:cstheme="minorBidi"/>
          <w:b w:val="0"/>
          <w:caps w:val="0"/>
          <w:noProof/>
          <w:kern w:val="2"/>
          <w:sz w:val="24"/>
          <w:szCs w:val="24"/>
          <w:lang w:eastAsia="en-GB"/>
          <w14:ligatures w14:val="standardContextual"/>
        </w:rPr>
      </w:pPr>
      <w:hyperlink w:anchor="_Toc159429855" w:history="1">
        <w:r w:rsidR="00D454FF" w:rsidRPr="00D454FF">
          <w:rPr>
            <w:rStyle w:val="Hyperlink"/>
            <w:b w:val="0"/>
            <w:noProof/>
          </w:rPr>
          <w:t>8.0</w:t>
        </w:r>
        <w:r w:rsidR="00D454FF" w:rsidRPr="00D454FF">
          <w:rPr>
            <w:rFonts w:eastAsiaTheme="minorEastAsia" w:cstheme="minorBidi"/>
            <w:b w:val="0"/>
            <w:caps w:val="0"/>
            <w:noProof/>
            <w:kern w:val="2"/>
            <w:sz w:val="24"/>
            <w:szCs w:val="24"/>
            <w:lang w:eastAsia="en-GB"/>
            <w14:ligatures w14:val="standardContextual"/>
          </w:rPr>
          <w:tab/>
        </w:r>
        <w:r w:rsidR="00D454FF" w:rsidRPr="00D454FF">
          <w:rPr>
            <w:rStyle w:val="Hyperlink"/>
            <w:b w:val="0"/>
            <w:noProof/>
          </w:rPr>
          <w:t>RESOURCES AND TRAINING TO SUPPORT PATIENT SAFETY INCIDENT RESPONSE</w:t>
        </w:r>
        <w:r w:rsidR="00D454FF" w:rsidRPr="00D454FF">
          <w:rPr>
            <w:b w:val="0"/>
            <w:noProof/>
            <w:webHidden/>
          </w:rPr>
          <w:tab/>
        </w:r>
        <w:r w:rsidR="00D454FF" w:rsidRPr="00D454FF">
          <w:rPr>
            <w:b w:val="0"/>
            <w:noProof/>
            <w:webHidden/>
          </w:rPr>
          <w:fldChar w:fldCharType="begin"/>
        </w:r>
        <w:r w:rsidR="00D454FF" w:rsidRPr="00D454FF">
          <w:rPr>
            <w:b w:val="0"/>
            <w:noProof/>
            <w:webHidden/>
          </w:rPr>
          <w:instrText xml:space="preserve"> PAGEREF _Toc159429855 \h </w:instrText>
        </w:r>
        <w:r w:rsidR="00D454FF" w:rsidRPr="00D454FF">
          <w:rPr>
            <w:b w:val="0"/>
            <w:noProof/>
            <w:webHidden/>
          </w:rPr>
        </w:r>
        <w:r w:rsidR="00D454FF" w:rsidRPr="00D454FF">
          <w:rPr>
            <w:b w:val="0"/>
            <w:noProof/>
            <w:webHidden/>
          </w:rPr>
          <w:fldChar w:fldCharType="separate"/>
        </w:r>
        <w:r w:rsidR="00AB2AC6">
          <w:rPr>
            <w:b w:val="0"/>
            <w:noProof/>
            <w:webHidden/>
          </w:rPr>
          <w:t>10</w:t>
        </w:r>
        <w:r w:rsidR="00D454FF" w:rsidRPr="00D454FF">
          <w:rPr>
            <w:b w:val="0"/>
            <w:noProof/>
            <w:webHidden/>
          </w:rPr>
          <w:fldChar w:fldCharType="end"/>
        </w:r>
      </w:hyperlink>
    </w:p>
    <w:p w14:paraId="42996149" w14:textId="78C47766" w:rsidR="00D454FF" w:rsidRPr="00D454FF" w:rsidRDefault="0034538A">
      <w:pPr>
        <w:pStyle w:val="TOC1"/>
        <w:tabs>
          <w:tab w:val="left" w:pos="660"/>
          <w:tab w:val="right" w:leader="dot" w:pos="10180"/>
        </w:tabs>
        <w:rPr>
          <w:rFonts w:eastAsiaTheme="minorEastAsia" w:cstheme="minorBidi"/>
          <w:b w:val="0"/>
          <w:caps w:val="0"/>
          <w:noProof/>
          <w:kern w:val="2"/>
          <w:sz w:val="24"/>
          <w:szCs w:val="24"/>
          <w:lang w:eastAsia="en-GB"/>
          <w14:ligatures w14:val="standardContextual"/>
        </w:rPr>
      </w:pPr>
      <w:hyperlink w:anchor="_Toc159429856" w:history="1">
        <w:r w:rsidR="00D454FF" w:rsidRPr="00D454FF">
          <w:rPr>
            <w:rStyle w:val="Hyperlink"/>
            <w:b w:val="0"/>
            <w:noProof/>
          </w:rPr>
          <w:t>9.0</w:t>
        </w:r>
        <w:r w:rsidR="00D454FF" w:rsidRPr="00D454FF">
          <w:rPr>
            <w:rFonts w:eastAsiaTheme="minorEastAsia" w:cstheme="minorBidi"/>
            <w:b w:val="0"/>
            <w:caps w:val="0"/>
            <w:noProof/>
            <w:kern w:val="2"/>
            <w:sz w:val="24"/>
            <w:szCs w:val="24"/>
            <w:lang w:eastAsia="en-GB"/>
            <w14:ligatures w14:val="standardContextual"/>
          </w:rPr>
          <w:tab/>
        </w:r>
        <w:r w:rsidR="00D454FF" w:rsidRPr="00D454FF">
          <w:rPr>
            <w:rStyle w:val="Hyperlink"/>
            <w:b w:val="0"/>
            <w:noProof/>
          </w:rPr>
          <w:t>patient safety incident response plan</w:t>
        </w:r>
        <w:r w:rsidR="00D454FF" w:rsidRPr="00D454FF">
          <w:rPr>
            <w:b w:val="0"/>
            <w:noProof/>
            <w:webHidden/>
          </w:rPr>
          <w:tab/>
        </w:r>
        <w:r w:rsidR="00D454FF" w:rsidRPr="00D454FF">
          <w:rPr>
            <w:b w:val="0"/>
            <w:noProof/>
            <w:webHidden/>
          </w:rPr>
          <w:fldChar w:fldCharType="begin"/>
        </w:r>
        <w:r w:rsidR="00D454FF" w:rsidRPr="00D454FF">
          <w:rPr>
            <w:b w:val="0"/>
            <w:noProof/>
            <w:webHidden/>
          </w:rPr>
          <w:instrText xml:space="preserve"> PAGEREF _Toc159429856 \h </w:instrText>
        </w:r>
        <w:r w:rsidR="00D454FF" w:rsidRPr="00D454FF">
          <w:rPr>
            <w:b w:val="0"/>
            <w:noProof/>
            <w:webHidden/>
          </w:rPr>
        </w:r>
        <w:r w:rsidR="00D454FF" w:rsidRPr="00D454FF">
          <w:rPr>
            <w:b w:val="0"/>
            <w:noProof/>
            <w:webHidden/>
          </w:rPr>
          <w:fldChar w:fldCharType="separate"/>
        </w:r>
        <w:r w:rsidR="00AB2AC6">
          <w:rPr>
            <w:b w:val="0"/>
            <w:noProof/>
            <w:webHidden/>
          </w:rPr>
          <w:t>10</w:t>
        </w:r>
        <w:r w:rsidR="00D454FF" w:rsidRPr="00D454FF">
          <w:rPr>
            <w:b w:val="0"/>
            <w:noProof/>
            <w:webHidden/>
          </w:rPr>
          <w:fldChar w:fldCharType="end"/>
        </w:r>
      </w:hyperlink>
    </w:p>
    <w:p w14:paraId="3D075D7D" w14:textId="3140350F" w:rsidR="00D454FF" w:rsidRPr="00D454FF" w:rsidRDefault="0034538A">
      <w:pPr>
        <w:pStyle w:val="TOC1"/>
        <w:tabs>
          <w:tab w:val="left" w:pos="660"/>
          <w:tab w:val="right" w:leader="dot" w:pos="10180"/>
        </w:tabs>
        <w:rPr>
          <w:rFonts w:eastAsiaTheme="minorEastAsia" w:cstheme="minorBidi"/>
          <w:b w:val="0"/>
          <w:caps w:val="0"/>
          <w:noProof/>
          <w:kern w:val="2"/>
          <w:sz w:val="24"/>
          <w:szCs w:val="24"/>
          <w:lang w:eastAsia="en-GB"/>
          <w14:ligatures w14:val="standardContextual"/>
        </w:rPr>
      </w:pPr>
      <w:hyperlink w:anchor="_Toc159429862" w:history="1">
        <w:r w:rsidR="00D454FF" w:rsidRPr="00D454FF">
          <w:rPr>
            <w:rStyle w:val="Hyperlink"/>
            <w:b w:val="0"/>
            <w:noProof/>
          </w:rPr>
          <w:t>10.0</w:t>
        </w:r>
        <w:r w:rsidR="00D454FF" w:rsidRPr="00D454FF">
          <w:rPr>
            <w:rFonts w:eastAsiaTheme="minorEastAsia" w:cstheme="minorBidi"/>
            <w:b w:val="0"/>
            <w:caps w:val="0"/>
            <w:noProof/>
            <w:kern w:val="2"/>
            <w:sz w:val="24"/>
            <w:szCs w:val="24"/>
            <w:lang w:eastAsia="en-GB"/>
            <w14:ligatures w14:val="standardContextual"/>
          </w:rPr>
          <w:tab/>
        </w:r>
        <w:r w:rsidR="00D454FF" w:rsidRPr="00D454FF">
          <w:rPr>
            <w:rStyle w:val="Hyperlink"/>
            <w:b w:val="0"/>
            <w:noProof/>
          </w:rPr>
          <w:t>REVIEWING OUR PATIENT SAFETY INCIDENT RESPONSE POLICY AND PLAN</w:t>
        </w:r>
        <w:r w:rsidR="00D454FF" w:rsidRPr="00D454FF">
          <w:rPr>
            <w:b w:val="0"/>
            <w:noProof/>
            <w:webHidden/>
          </w:rPr>
          <w:tab/>
        </w:r>
        <w:r w:rsidR="00D454FF" w:rsidRPr="00D454FF">
          <w:rPr>
            <w:b w:val="0"/>
            <w:noProof/>
            <w:webHidden/>
          </w:rPr>
          <w:fldChar w:fldCharType="begin"/>
        </w:r>
        <w:r w:rsidR="00D454FF" w:rsidRPr="00D454FF">
          <w:rPr>
            <w:b w:val="0"/>
            <w:noProof/>
            <w:webHidden/>
          </w:rPr>
          <w:instrText xml:space="preserve"> PAGEREF _Toc159429862 \h </w:instrText>
        </w:r>
        <w:r w:rsidR="00D454FF" w:rsidRPr="00D454FF">
          <w:rPr>
            <w:b w:val="0"/>
            <w:noProof/>
            <w:webHidden/>
          </w:rPr>
        </w:r>
        <w:r w:rsidR="00D454FF" w:rsidRPr="00D454FF">
          <w:rPr>
            <w:b w:val="0"/>
            <w:noProof/>
            <w:webHidden/>
          </w:rPr>
          <w:fldChar w:fldCharType="separate"/>
        </w:r>
        <w:r w:rsidR="00AB2AC6">
          <w:rPr>
            <w:b w:val="0"/>
            <w:noProof/>
            <w:webHidden/>
          </w:rPr>
          <w:t>10</w:t>
        </w:r>
        <w:r w:rsidR="00D454FF" w:rsidRPr="00D454FF">
          <w:rPr>
            <w:b w:val="0"/>
            <w:noProof/>
            <w:webHidden/>
          </w:rPr>
          <w:fldChar w:fldCharType="end"/>
        </w:r>
      </w:hyperlink>
    </w:p>
    <w:p w14:paraId="5E9A587A" w14:textId="0DAC0E33" w:rsidR="00D454FF" w:rsidRPr="00D454FF" w:rsidRDefault="0034538A">
      <w:pPr>
        <w:pStyle w:val="TOC1"/>
        <w:tabs>
          <w:tab w:val="left" w:pos="660"/>
          <w:tab w:val="right" w:leader="dot" w:pos="10180"/>
        </w:tabs>
        <w:rPr>
          <w:rFonts w:eastAsiaTheme="minorEastAsia" w:cstheme="minorBidi"/>
          <w:b w:val="0"/>
          <w:caps w:val="0"/>
          <w:noProof/>
          <w:kern w:val="2"/>
          <w:sz w:val="24"/>
          <w:szCs w:val="24"/>
          <w:lang w:eastAsia="en-GB"/>
          <w14:ligatures w14:val="standardContextual"/>
        </w:rPr>
      </w:pPr>
      <w:hyperlink w:anchor="_Toc159429863" w:history="1">
        <w:r w:rsidR="00D454FF" w:rsidRPr="00D454FF">
          <w:rPr>
            <w:rStyle w:val="Hyperlink"/>
            <w:b w:val="0"/>
            <w:noProof/>
          </w:rPr>
          <w:t>11.0</w:t>
        </w:r>
        <w:r w:rsidR="00D454FF" w:rsidRPr="00D454FF">
          <w:rPr>
            <w:rFonts w:eastAsiaTheme="minorEastAsia" w:cstheme="minorBidi"/>
            <w:b w:val="0"/>
            <w:caps w:val="0"/>
            <w:noProof/>
            <w:kern w:val="2"/>
            <w:sz w:val="24"/>
            <w:szCs w:val="24"/>
            <w:lang w:eastAsia="en-GB"/>
            <w14:ligatures w14:val="standardContextual"/>
          </w:rPr>
          <w:tab/>
        </w:r>
        <w:r w:rsidR="00D454FF" w:rsidRPr="00D454FF">
          <w:rPr>
            <w:rStyle w:val="Hyperlink"/>
            <w:b w:val="0"/>
            <w:noProof/>
          </w:rPr>
          <w:t>RESPONDING TO PATIENT SAFETY INCIDENTS</w:t>
        </w:r>
        <w:r w:rsidR="00D454FF" w:rsidRPr="00D454FF">
          <w:rPr>
            <w:b w:val="0"/>
            <w:noProof/>
            <w:webHidden/>
          </w:rPr>
          <w:tab/>
        </w:r>
        <w:r w:rsidR="00D454FF" w:rsidRPr="00D454FF">
          <w:rPr>
            <w:b w:val="0"/>
            <w:noProof/>
            <w:webHidden/>
          </w:rPr>
          <w:fldChar w:fldCharType="begin"/>
        </w:r>
        <w:r w:rsidR="00D454FF" w:rsidRPr="00D454FF">
          <w:rPr>
            <w:b w:val="0"/>
            <w:noProof/>
            <w:webHidden/>
          </w:rPr>
          <w:instrText xml:space="preserve"> PAGEREF _Toc159429863 \h </w:instrText>
        </w:r>
        <w:r w:rsidR="00D454FF" w:rsidRPr="00D454FF">
          <w:rPr>
            <w:b w:val="0"/>
            <w:noProof/>
            <w:webHidden/>
          </w:rPr>
        </w:r>
        <w:r w:rsidR="00D454FF" w:rsidRPr="00D454FF">
          <w:rPr>
            <w:b w:val="0"/>
            <w:noProof/>
            <w:webHidden/>
          </w:rPr>
          <w:fldChar w:fldCharType="separate"/>
        </w:r>
        <w:r w:rsidR="00AB2AC6">
          <w:rPr>
            <w:b w:val="0"/>
            <w:noProof/>
            <w:webHidden/>
          </w:rPr>
          <w:t>11</w:t>
        </w:r>
        <w:r w:rsidR="00D454FF" w:rsidRPr="00D454FF">
          <w:rPr>
            <w:b w:val="0"/>
            <w:noProof/>
            <w:webHidden/>
          </w:rPr>
          <w:fldChar w:fldCharType="end"/>
        </w:r>
      </w:hyperlink>
    </w:p>
    <w:p w14:paraId="624138E1" w14:textId="4D28FDEF" w:rsidR="00D454FF" w:rsidRPr="00D454FF" w:rsidRDefault="0034538A">
      <w:pPr>
        <w:pStyle w:val="TOC1"/>
        <w:tabs>
          <w:tab w:val="left" w:pos="660"/>
          <w:tab w:val="right" w:leader="dot" w:pos="10180"/>
        </w:tabs>
        <w:rPr>
          <w:rFonts w:eastAsiaTheme="minorEastAsia" w:cstheme="minorBidi"/>
          <w:b w:val="0"/>
          <w:caps w:val="0"/>
          <w:noProof/>
          <w:kern w:val="2"/>
          <w:sz w:val="24"/>
          <w:szCs w:val="24"/>
          <w:lang w:eastAsia="en-GB"/>
          <w14:ligatures w14:val="standardContextual"/>
        </w:rPr>
      </w:pPr>
      <w:hyperlink w:anchor="_Toc159429864" w:history="1">
        <w:r w:rsidR="00D454FF" w:rsidRPr="00D454FF">
          <w:rPr>
            <w:rStyle w:val="Hyperlink"/>
            <w:b w:val="0"/>
            <w:noProof/>
          </w:rPr>
          <w:t>12.0</w:t>
        </w:r>
        <w:r w:rsidR="00D454FF" w:rsidRPr="00D454FF">
          <w:rPr>
            <w:rFonts w:eastAsiaTheme="minorEastAsia" w:cstheme="minorBidi"/>
            <w:b w:val="0"/>
            <w:caps w:val="0"/>
            <w:noProof/>
            <w:kern w:val="2"/>
            <w:sz w:val="24"/>
            <w:szCs w:val="24"/>
            <w:lang w:eastAsia="en-GB"/>
            <w14:ligatures w14:val="standardContextual"/>
          </w:rPr>
          <w:tab/>
        </w:r>
        <w:r w:rsidR="00D454FF" w:rsidRPr="00D454FF">
          <w:rPr>
            <w:rStyle w:val="Hyperlink"/>
            <w:b w:val="0"/>
            <w:noProof/>
          </w:rPr>
          <w:t>MORTALITY REVIEW PROCESS</w:t>
        </w:r>
        <w:r w:rsidR="00D454FF" w:rsidRPr="00D454FF">
          <w:rPr>
            <w:b w:val="0"/>
            <w:noProof/>
            <w:webHidden/>
          </w:rPr>
          <w:tab/>
        </w:r>
        <w:r w:rsidR="00D454FF" w:rsidRPr="00D454FF">
          <w:rPr>
            <w:b w:val="0"/>
            <w:noProof/>
            <w:webHidden/>
          </w:rPr>
          <w:fldChar w:fldCharType="begin"/>
        </w:r>
        <w:r w:rsidR="00D454FF" w:rsidRPr="00D454FF">
          <w:rPr>
            <w:b w:val="0"/>
            <w:noProof/>
            <w:webHidden/>
          </w:rPr>
          <w:instrText xml:space="preserve"> PAGEREF _Toc159429864 \h </w:instrText>
        </w:r>
        <w:r w:rsidR="00D454FF" w:rsidRPr="00D454FF">
          <w:rPr>
            <w:b w:val="0"/>
            <w:noProof/>
            <w:webHidden/>
          </w:rPr>
        </w:r>
        <w:r w:rsidR="00D454FF" w:rsidRPr="00D454FF">
          <w:rPr>
            <w:b w:val="0"/>
            <w:noProof/>
            <w:webHidden/>
          </w:rPr>
          <w:fldChar w:fldCharType="separate"/>
        </w:r>
        <w:r w:rsidR="00AB2AC6">
          <w:rPr>
            <w:b w:val="0"/>
            <w:noProof/>
            <w:webHidden/>
          </w:rPr>
          <w:t>14</w:t>
        </w:r>
        <w:r w:rsidR="00D454FF" w:rsidRPr="00D454FF">
          <w:rPr>
            <w:b w:val="0"/>
            <w:noProof/>
            <w:webHidden/>
          </w:rPr>
          <w:fldChar w:fldCharType="end"/>
        </w:r>
      </w:hyperlink>
    </w:p>
    <w:p w14:paraId="7B2FF38A" w14:textId="4C14C8A6" w:rsidR="00D454FF" w:rsidRPr="00D454FF" w:rsidRDefault="0034538A">
      <w:pPr>
        <w:pStyle w:val="TOC1"/>
        <w:tabs>
          <w:tab w:val="left" w:pos="660"/>
          <w:tab w:val="right" w:leader="dot" w:pos="10180"/>
        </w:tabs>
        <w:rPr>
          <w:rFonts w:eastAsiaTheme="minorEastAsia" w:cstheme="minorBidi"/>
          <w:b w:val="0"/>
          <w:caps w:val="0"/>
          <w:noProof/>
          <w:kern w:val="2"/>
          <w:sz w:val="24"/>
          <w:szCs w:val="24"/>
          <w:lang w:eastAsia="en-GB"/>
          <w14:ligatures w14:val="standardContextual"/>
        </w:rPr>
      </w:pPr>
      <w:hyperlink w:anchor="_Toc159429865" w:history="1">
        <w:r w:rsidR="00D454FF" w:rsidRPr="00D454FF">
          <w:rPr>
            <w:rStyle w:val="Hyperlink"/>
            <w:b w:val="0"/>
            <w:noProof/>
          </w:rPr>
          <w:t>13.0</w:t>
        </w:r>
        <w:r w:rsidR="00D454FF" w:rsidRPr="00D454FF">
          <w:rPr>
            <w:rFonts w:eastAsiaTheme="minorEastAsia" w:cstheme="minorBidi"/>
            <w:b w:val="0"/>
            <w:caps w:val="0"/>
            <w:noProof/>
            <w:kern w:val="2"/>
            <w:sz w:val="24"/>
            <w:szCs w:val="24"/>
            <w:lang w:eastAsia="en-GB"/>
            <w14:ligatures w14:val="standardContextual"/>
          </w:rPr>
          <w:tab/>
        </w:r>
        <w:r w:rsidR="00D454FF" w:rsidRPr="00D454FF">
          <w:rPr>
            <w:rStyle w:val="Hyperlink"/>
            <w:b w:val="0"/>
            <w:noProof/>
          </w:rPr>
          <w:t>Oversight roles and responsibilities</w:t>
        </w:r>
        <w:r w:rsidR="00D454FF" w:rsidRPr="00D454FF">
          <w:rPr>
            <w:b w:val="0"/>
            <w:noProof/>
            <w:webHidden/>
          </w:rPr>
          <w:tab/>
        </w:r>
        <w:r w:rsidR="00D454FF" w:rsidRPr="00D454FF">
          <w:rPr>
            <w:b w:val="0"/>
            <w:noProof/>
            <w:webHidden/>
          </w:rPr>
          <w:fldChar w:fldCharType="begin"/>
        </w:r>
        <w:r w:rsidR="00D454FF" w:rsidRPr="00D454FF">
          <w:rPr>
            <w:b w:val="0"/>
            <w:noProof/>
            <w:webHidden/>
          </w:rPr>
          <w:instrText xml:space="preserve"> PAGEREF _Toc159429865 \h </w:instrText>
        </w:r>
        <w:r w:rsidR="00D454FF" w:rsidRPr="00D454FF">
          <w:rPr>
            <w:b w:val="0"/>
            <w:noProof/>
            <w:webHidden/>
          </w:rPr>
        </w:r>
        <w:r w:rsidR="00D454FF" w:rsidRPr="00D454FF">
          <w:rPr>
            <w:b w:val="0"/>
            <w:noProof/>
            <w:webHidden/>
          </w:rPr>
          <w:fldChar w:fldCharType="separate"/>
        </w:r>
        <w:r w:rsidR="00AB2AC6">
          <w:rPr>
            <w:b w:val="0"/>
            <w:noProof/>
            <w:webHidden/>
          </w:rPr>
          <w:t>16</w:t>
        </w:r>
        <w:r w:rsidR="00D454FF" w:rsidRPr="00D454FF">
          <w:rPr>
            <w:b w:val="0"/>
            <w:noProof/>
            <w:webHidden/>
          </w:rPr>
          <w:fldChar w:fldCharType="end"/>
        </w:r>
      </w:hyperlink>
    </w:p>
    <w:p w14:paraId="583CF667" w14:textId="1A40305A" w:rsidR="00D454FF" w:rsidRPr="00D454FF" w:rsidRDefault="0034538A">
      <w:pPr>
        <w:pStyle w:val="TOC1"/>
        <w:tabs>
          <w:tab w:val="left" w:pos="660"/>
          <w:tab w:val="right" w:leader="dot" w:pos="10180"/>
        </w:tabs>
        <w:rPr>
          <w:rFonts w:eastAsiaTheme="minorEastAsia" w:cstheme="minorBidi"/>
          <w:b w:val="0"/>
          <w:caps w:val="0"/>
          <w:noProof/>
          <w:kern w:val="2"/>
          <w:sz w:val="24"/>
          <w:szCs w:val="24"/>
          <w:lang w:eastAsia="en-GB"/>
          <w14:ligatures w14:val="standardContextual"/>
        </w:rPr>
      </w:pPr>
      <w:hyperlink w:anchor="_Toc159429868" w:history="1">
        <w:r w:rsidR="00D454FF" w:rsidRPr="00D454FF">
          <w:rPr>
            <w:rStyle w:val="Hyperlink"/>
            <w:b w:val="0"/>
            <w:noProof/>
          </w:rPr>
          <w:t>14.0</w:t>
        </w:r>
        <w:r w:rsidR="00D454FF" w:rsidRPr="00D454FF">
          <w:rPr>
            <w:rFonts w:eastAsiaTheme="minorEastAsia" w:cstheme="minorBidi"/>
            <w:b w:val="0"/>
            <w:caps w:val="0"/>
            <w:noProof/>
            <w:kern w:val="2"/>
            <w:sz w:val="24"/>
            <w:szCs w:val="24"/>
            <w:lang w:eastAsia="en-GB"/>
            <w14:ligatures w14:val="standardContextual"/>
          </w:rPr>
          <w:tab/>
        </w:r>
        <w:r w:rsidR="00D454FF" w:rsidRPr="00D454FF">
          <w:rPr>
            <w:rStyle w:val="Hyperlink"/>
            <w:b w:val="0"/>
            <w:noProof/>
          </w:rPr>
          <w:t>Complaints and appeals</w:t>
        </w:r>
        <w:r w:rsidR="00D454FF" w:rsidRPr="00D454FF">
          <w:rPr>
            <w:b w:val="0"/>
            <w:noProof/>
            <w:webHidden/>
          </w:rPr>
          <w:tab/>
        </w:r>
        <w:r w:rsidR="00D454FF" w:rsidRPr="00D454FF">
          <w:rPr>
            <w:b w:val="0"/>
            <w:noProof/>
            <w:webHidden/>
          </w:rPr>
          <w:fldChar w:fldCharType="begin"/>
        </w:r>
        <w:r w:rsidR="00D454FF" w:rsidRPr="00D454FF">
          <w:rPr>
            <w:b w:val="0"/>
            <w:noProof/>
            <w:webHidden/>
          </w:rPr>
          <w:instrText xml:space="preserve"> PAGEREF _Toc159429868 \h </w:instrText>
        </w:r>
        <w:r w:rsidR="00D454FF" w:rsidRPr="00D454FF">
          <w:rPr>
            <w:b w:val="0"/>
            <w:noProof/>
            <w:webHidden/>
          </w:rPr>
        </w:r>
        <w:r w:rsidR="00D454FF" w:rsidRPr="00D454FF">
          <w:rPr>
            <w:b w:val="0"/>
            <w:noProof/>
            <w:webHidden/>
          </w:rPr>
          <w:fldChar w:fldCharType="separate"/>
        </w:r>
        <w:r w:rsidR="00AB2AC6">
          <w:rPr>
            <w:b w:val="0"/>
            <w:noProof/>
            <w:webHidden/>
          </w:rPr>
          <w:t>17</w:t>
        </w:r>
        <w:r w:rsidR="00D454FF" w:rsidRPr="00D454FF">
          <w:rPr>
            <w:b w:val="0"/>
            <w:noProof/>
            <w:webHidden/>
          </w:rPr>
          <w:fldChar w:fldCharType="end"/>
        </w:r>
      </w:hyperlink>
    </w:p>
    <w:p w14:paraId="35C5BA5D" w14:textId="17010715" w:rsidR="00D454FF" w:rsidRPr="00D454FF" w:rsidRDefault="0034538A">
      <w:pPr>
        <w:pStyle w:val="TOC1"/>
        <w:tabs>
          <w:tab w:val="left" w:pos="660"/>
          <w:tab w:val="right" w:leader="dot" w:pos="10180"/>
        </w:tabs>
        <w:rPr>
          <w:rFonts w:eastAsiaTheme="minorEastAsia" w:cstheme="minorBidi"/>
          <w:b w:val="0"/>
          <w:caps w:val="0"/>
          <w:noProof/>
          <w:kern w:val="2"/>
          <w:sz w:val="24"/>
          <w:szCs w:val="24"/>
          <w:lang w:eastAsia="en-GB"/>
          <w14:ligatures w14:val="standardContextual"/>
        </w:rPr>
      </w:pPr>
      <w:hyperlink w:anchor="_Toc159429869" w:history="1">
        <w:r w:rsidR="00D454FF" w:rsidRPr="00D454FF">
          <w:rPr>
            <w:rStyle w:val="Hyperlink"/>
            <w:b w:val="0"/>
            <w:noProof/>
          </w:rPr>
          <w:t>15.0</w:t>
        </w:r>
        <w:r w:rsidR="00D454FF" w:rsidRPr="00D454FF">
          <w:rPr>
            <w:rFonts w:eastAsiaTheme="minorEastAsia" w:cstheme="minorBidi"/>
            <w:b w:val="0"/>
            <w:caps w:val="0"/>
            <w:noProof/>
            <w:kern w:val="2"/>
            <w:sz w:val="24"/>
            <w:szCs w:val="24"/>
            <w:lang w:eastAsia="en-GB"/>
            <w14:ligatures w14:val="standardContextual"/>
          </w:rPr>
          <w:tab/>
        </w:r>
        <w:r w:rsidR="00D454FF" w:rsidRPr="00D454FF">
          <w:rPr>
            <w:rStyle w:val="Hyperlink"/>
            <w:b w:val="0"/>
            <w:noProof/>
          </w:rPr>
          <w:t>references</w:t>
        </w:r>
        <w:r w:rsidR="00D454FF" w:rsidRPr="00D454FF">
          <w:rPr>
            <w:b w:val="0"/>
            <w:noProof/>
            <w:webHidden/>
          </w:rPr>
          <w:tab/>
        </w:r>
        <w:r w:rsidR="00D454FF" w:rsidRPr="00D454FF">
          <w:rPr>
            <w:b w:val="0"/>
            <w:noProof/>
            <w:webHidden/>
          </w:rPr>
          <w:fldChar w:fldCharType="begin"/>
        </w:r>
        <w:r w:rsidR="00D454FF" w:rsidRPr="00D454FF">
          <w:rPr>
            <w:b w:val="0"/>
            <w:noProof/>
            <w:webHidden/>
          </w:rPr>
          <w:instrText xml:space="preserve"> PAGEREF _Toc159429869 \h </w:instrText>
        </w:r>
        <w:r w:rsidR="00D454FF" w:rsidRPr="00D454FF">
          <w:rPr>
            <w:b w:val="0"/>
            <w:noProof/>
            <w:webHidden/>
          </w:rPr>
        </w:r>
        <w:r w:rsidR="00D454FF" w:rsidRPr="00D454FF">
          <w:rPr>
            <w:b w:val="0"/>
            <w:noProof/>
            <w:webHidden/>
          </w:rPr>
          <w:fldChar w:fldCharType="separate"/>
        </w:r>
        <w:r w:rsidR="00AB2AC6">
          <w:rPr>
            <w:b w:val="0"/>
            <w:noProof/>
            <w:webHidden/>
          </w:rPr>
          <w:t>18</w:t>
        </w:r>
        <w:r w:rsidR="00D454FF" w:rsidRPr="00D454FF">
          <w:rPr>
            <w:b w:val="0"/>
            <w:noProof/>
            <w:webHidden/>
          </w:rPr>
          <w:fldChar w:fldCharType="end"/>
        </w:r>
      </w:hyperlink>
    </w:p>
    <w:p w14:paraId="7D8B5FAB" w14:textId="0B5A78B9" w:rsidR="00D454FF" w:rsidRPr="00D454FF" w:rsidRDefault="0034538A">
      <w:pPr>
        <w:pStyle w:val="TOC1"/>
        <w:tabs>
          <w:tab w:val="left" w:pos="660"/>
          <w:tab w:val="right" w:leader="dot" w:pos="10180"/>
        </w:tabs>
        <w:rPr>
          <w:rFonts w:eastAsiaTheme="minorEastAsia" w:cstheme="minorBidi"/>
          <w:b w:val="0"/>
          <w:caps w:val="0"/>
          <w:noProof/>
          <w:kern w:val="2"/>
          <w:sz w:val="24"/>
          <w:szCs w:val="24"/>
          <w:lang w:eastAsia="en-GB"/>
          <w14:ligatures w14:val="standardContextual"/>
        </w:rPr>
      </w:pPr>
      <w:hyperlink w:anchor="_Toc159429870" w:history="1">
        <w:r w:rsidR="00D454FF" w:rsidRPr="00D454FF">
          <w:rPr>
            <w:rStyle w:val="Hyperlink"/>
            <w:b w:val="0"/>
            <w:noProof/>
          </w:rPr>
          <w:t>16.0</w:t>
        </w:r>
        <w:r w:rsidR="00D454FF" w:rsidRPr="00D454FF">
          <w:rPr>
            <w:rFonts w:eastAsiaTheme="minorEastAsia" w:cstheme="minorBidi"/>
            <w:b w:val="0"/>
            <w:caps w:val="0"/>
            <w:noProof/>
            <w:kern w:val="2"/>
            <w:sz w:val="24"/>
            <w:szCs w:val="24"/>
            <w:lang w:eastAsia="en-GB"/>
            <w14:ligatures w14:val="standardContextual"/>
          </w:rPr>
          <w:tab/>
        </w:r>
        <w:r w:rsidR="00D454FF" w:rsidRPr="00D454FF">
          <w:rPr>
            <w:rStyle w:val="Hyperlink"/>
            <w:b w:val="0"/>
            <w:noProof/>
          </w:rPr>
          <w:t>ASSOCIATED</w:t>
        </w:r>
        <w:r w:rsidR="00D454FF" w:rsidRPr="00D454FF">
          <w:rPr>
            <w:rStyle w:val="Hyperlink"/>
            <w:b w:val="0"/>
            <w:noProof/>
            <w:spacing w:val="-6"/>
          </w:rPr>
          <w:t xml:space="preserve"> </w:t>
        </w:r>
        <w:r w:rsidR="00D454FF" w:rsidRPr="00D454FF">
          <w:rPr>
            <w:rStyle w:val="Hyperlink"/>
            <w:b w:val="0"/>
            <w:noProof/>
          </w:rPr>
          <w:t>POLICIES</w:t>
        </w:r>
        <w:r w:rsidR="00D454FF" w:rsidRPr="00D454FF">
          <w:rPr>
            <w:b w:val="0"/>
            <w:noProof/>
            <w:webHidden/>
          </w:rPr>
          <w:tab/>
        </w:r>
        <w:r w:rsidR="00D454FF" w:rsidRPr="00D454FF">
          <w:rPr>
            <w:b w:val="0"/>
            <w:noProof/>
            <w:webHidden/>
          </w:rPr>
          <w:fldChar w:fldCharType="begin"/>
        </w:r>
        <w:r w:rsidR="00D454FF" w:rsidRPr="00D454FF">
          <w:rPr>
            <w:b w:val="0"/>
            <w:noProof/>
            <w:webHidden/>
          </w:rPr>
          <w:instrText xml:space="preserve"> PAGEREF _Toc159429870 \h </w:instrText>
        </w:r>
        <w:r w:rsidR="00D454FF" w:rsidRPr="00D454FF">
          <w:rPr>
            <w:b w:val="0"/>
            <w:noProof/>
            <w:webHidden/>
          </w:rPr>
        </w:r>
        <w:r w:rsidR="00D454FF" w:rsidRPr="00D454FF">
          <w:rPr>
            <w:b w:val="0"/>
            <w:noProof/>
            <w:webHidden/>
          </w:rPr>
          <w:fldChar w:fldCharType="separate"/>
        </w:r>
        <w:r w:rsidR="00AB2AC6">
          <w:rPr>
            <w:b w:val="0"/>
            <w:noProof/>
            <w:webHidden/>
          </w:rPr>
          <w:t>18</w:t>
        </w:r>
        <w:r w:rsidR="00D454FF" w:rsidRPr="00D454FF">
          <w:rPr>
            <w:b w:val="0"/>
            <w:noProof/>
            <w:webHidden/>
          </w:rPr>
          <w:fldChar w:fldCharType="end"/>
        </w:r>
      </w:hyperlink>
    </w:p>
    <w:p w14:paraId="66E213D0" w14:textId="52A26277" w:rsidR="00D454FF" w:rsidRPr="00D454FF" w:rsidRDefault="0034538A">
      <w:pPr>
        <w:pStyle w:val="TOC1"/>
        <w:tabs>
          <w:tab w:val="left" w:pos="660"/>
          <w:tab w:val="right" w:leader="dot" w:pos="10180"/>
        </w:tabs>
        <w:rPr>
          <w:rFonts w:eastAsiaTheme="minorEastAsia" w:cstheme="minorBidi"/>
          <w:b w:val="0"/>
          <w:caps w:val="0"/>
          <w:noProof/>
          <w:kern w:val="2"/>
          <w:sz w:val="24"/>
          <w:szCs w:val="24"/>
          <w:lang w:eastAsia="en-GB"/>
          <w14:ligatures w14:val="standardContextual"/>
        </w:rPr>
      </w:pPr>
      <w:hyperlink w:anchor="_Toc159429871" w:history="1">
        <w:r w:rsidR="00D454FF" w:rsidRPr="00D454FF">
          <w:rPr>
            <w:rStyle w:val="Hyperlink"/>
            <w:b w:val="0"/>
            <w:noProof/>
          </w:rPr>
          <w:t>17.0</w:t>
        </w:r>
        <w:r w:rsidR="00D454FF" w:rsidRPr="00D454FF">
          <w:rPr>
            <w:rFonts w:eastAsiaTheme="minorEastAsia" w:cstheme="minorBidi"/>
            <w:b w:val="0"/>
            <w:caps w:val="0"/>
            <w:noProof/>
            <w:kern w:val="2"/>
            <w:sz w:val="24"/>
            <w:szCs w:val="24"/>
            <w:lang w:eastAsia="en-GB"/>
            <w14:ligatures w14:val="standardContextual"/>
          </w:rPr>
          <w:tab/>
        </w:r>
        <w:r w:rsidR="00D454FF" w:rsidRPr="00D454FF">
          <w:rPr>
            <w:rStyle w:val="Hyperlink"/>
            <w:b w:val="0"/>
            <w:noProof/>
          </w:rPr>
          <w:t>Glossary of terms:</w:t>
        </w:r>
        <w:r w:rsidR="00D454FF" w:rsidRPr="00D454FF">
          <w:rPr>
            <w:b w:val="0"/>
            <w:noProof/>
            <w:webHidden/>
          </w:rPr>
          <w:tab/>
        </w:r>
        <w:r w:rsidR="00D454FF" w:rsidRPr="00D454FF">
          <w:rPr>
            <w:b w:val="0"/>
            <w:noProof/>
            <w:webHidden/>
          </w:rPr>
          <w:fldChar w:fldCharType="begin"/>
        </w:r>
        <w:r w:rsidR="00D454FF" w:rsidRPr="00D454FF">
          <w:rPr>
            <w:b w:val="0"/>
            <w:noProof/>
            <w:webHidden/>
          </w:rPr>
          <w:instrText xml:space="preserve"> PAGEREF _Toc159429871 \h </w:instrText>
        </w:r>
        <w:r w:rsidR="00D454FF" w:rsidRPr="00D454FF">
          <w:rPr>
            <w:b w:val="0"/>
            <w:noProof/>
            <w:webHidden/>
          </w:rPr>
        </w:r>
        <w:r w:rsidR="00D454FF" w:rsidRPr="00D454FF">
          <w:rPr>
            <w:b w:val="0"/>
            <w:noProof/>
            <w:webHidden/>
          </w:rPr>
          <w:fldChar w:fldCharType="separate"/>
        </w:r>
        <w:r w:rsidR="00AB2AC6">
          <w:rPr>
            <w:b w:val="0"/>
            <w:noProof/>
            <w:webHidden/>
          </w:rPr>
          <w:t>19</w:t>
        </w:r>
        <w:r w:rsidR="00D454FF" w:rsidRPr="00D454FF">
          <w:rPr>
            <w:b w:val="0"/>
            <w:noProof/>
            <w:webHidden/>
          </w:rPr>
          <w:fldChar w:fldCharType="end"/>
        </w:r>
      </w:hyperlink>
    </w:p>
    <w:p w14:paraId="0A1EF399" w14:textId="79317823" w:rsidR="00D454FF" w:rsidRPr="00D454FF" w:rsidRDefault="0034538A">
      <w:pPr>
        <w:pStyle w:val="TOC1"/>
        <w:tabs>
          <w:tab w:val="left" w:pos="660"/>
          <w:tab w:val="right" w:leader="dot" w:pos="10180"/>
        </w:tabs>
        <w:rPr>
          <w:rFonts w:eastAsiaTheme="minorEastAsia" w:cstheme="minorBidi"/>
          <w:b w:val="0"/>
          <w:caps w:val="0"/>
          <w:noProof/>
          <w:kern w:val="2"/>
          <w:sz w:val="24"/>
          <w:szCs w:val="24"/>
          <w:lang w:eastAsia="en-GB"/>
          <w14:ligatures w14:val="standardContextual"/>
        </w:rPr>
      </w:pPr>
      <w:hyperlink w:anchor="_Toc159429872" w:history="1">
        <w:r w:rsidR="00D454FF" w:rsidRPr="00D454FF">
          <w:rPr>
            <w:rStyle w:val="Hyperlink"/>
            <w:b w:val="0"/>
            <w:noProof/>
          </w:rPr>
          <w:t>18.0</w:t>
        </w:r>
        <w:r w:rsidR="00D454FF" w:rsidRPr="00D454FF">
          <w:rPr>
            <w:rFonts w:eastAsiaTheme="minorEastAsia" w:cstheme="minorBidi"/>
            <w:b w:val="0"/>
            <w:caps w:val="0"/>
            <w:noProof/>
            <w:kern w:val="2"/>
            <w:sz w:val="24"/>
            <w:szCs w:val="24"/>
            <w:lang w:eastAsia="en-GB"/>
            <w14:ligatures w14:val="standardContextual"/>
          </w:rPr>
          <w:tab/>
        </w:r>
        <w:r w:rsidR="00D454FF" w:rsidRPr="00D454FF">
          <w:rPr>
            <w:rStyle w:val="Hyperlink"/>
            <w:b w:val="0"/>
            <w:noProof/>
          </w:rPr>
          <w:t>appendices</w:t>
        </w:r>
        <w:r w:rsidR="00D454FF" w:rsidRPr="00D454FF">
          <w:rPr>
            <w:b w:val="0"/>
            <w:noProof/>
            <w:webHidden/>
          </w:rPr>
          <w:tab/>
        </w:r>
        <w:r w:rsidR="00D454FF" w:rsidRPr="00D454FF">
          <w:rPr>
            <w:b w:val="0"/>
            <w:noProof/>
            <w:webHidden/>
          </w:rPr>
          <w:fldChar w:fldCharType="begin"/>
        </w:r>
        <w:r w:rsidR="00D454FF" w:rsidRPr="00D454FF">
          <w:rPr>
            <w:b w:val="0"/>
            <w:noProof/>
            <w:webHidden/>
          </w:rPr>
          <w:instrText xml:space="preserve"> PAGEREF _Toc159429872 \h </w:instrText>
        </w:r>
        <w:r w:rsidR="00D454FF" w:rsidRPr="00D454FF">
          <w:rPr>
            <w:b w:val="0"/>
            <w:noProof/>
            <w:webHidden/>
          </w:rPr>
        </w:r>
        <w:r w:rsidR="00D454FF" w:rsidRPr="00D454FF">
          <w:rPr>
            <w:b w:val="0"/>
            <w:noProof/>
            <w:webHidden/>
          </w:rPr>
          <w:fldChar w:fldCharType="separate"/>
        </w:r>
        <w:r w:rsidR="00AB2AC6">
          <w:rPr>
            <w:b w:val="0"/>
            <w:noProof/>
            <w:webHidden/>
          </w:rPr>
          <w:t>19</w:t>
        </w:r>
        <w:r w:rsidR="00D454FF" w:rsidRPr="00D454FF">
          <w:rPr>
            <w:b w:val="0"/>
            <w:noProof/>
            <w:webHidden/>
          </w:rPr>
          <w:fldChar w:fldCharType="end"/>
        </w:r>
      </w:hyperlink>
    </w:p>
    <w:p w14:paraId="5D3B0B68" w14:textId="47651E52" w:rsidR="003443BC" w:rsidRPr="00BF0914" w:rsidRDefault="003443BC" w:rsidP="00525515">
      <w:pPr>
        <w:spacing w:before="14"/>
        <w:ind w:right="2149"/>
        <w:rPr>
          <w:rFonts w:asciiTheme="majorHAnsi" w:hAnsiTheme="majorHAnsi" w:cstheme="majorHAnsi"/>
          <w:b/>
        </w:rPr>
      </w:pPr>
      <w:r w:rsidRPr="00D454FF">
        <w:rPr>
          <w:rFonts w:asciiTheme="majorHAnsi" w:hAnsiTheme="majorHAnsi" w:cstheme="majorHAnsi"/>
          <w:bCs/>
        </w:rPr>
        <w:fldChar w:fldCharType="end"/>
      </w:r>
    </w:p>
    <w:p w14:paraId="6DBAA263" w14:textId="77777777" w:rsidR="001923F1" w:rsidRPr="00BF0914" w:rsidRDefault="001923F1" w:rsidP="001923F1">
      <w:pPr>
        <w:pStyle w:val="BodyText"/>
        <w:spacing w:before="4"/>
        <w:ind w:left="0"/>
        <w:rPr>
          <w:rFonts w:asciiTheme="majorHAnsi" w:hAnsiTheme="majorHAnsi" w:cstheme="majorHAnsi"/>
          <w:b/>
          <w:sz w:val="22"/>
          <w:szCs w:val="22"/>
        </w:rPr>
      </w:pPr>
    </w:p>
    <w:p w14:paraId="50540514" w14:textId="77777777" w:rsidR="001923F1" w:rsidRPr="00BF0914" w:rsidRDefault="001923F1" w:rsidP="001923F1">
      <w:pPr>
        <w:rPr>
          <w:rFonts w:asciiTheme="majorHAnsi" w:hAnsiTheme="majorHAnsi" w:cstheme="majorHAnsi"/>
        </w:rPr>
        <w:sectPr w:rsidR="001923F1" w:rsidRPr="00BF0914" w:rsidSect="00B16B2F">
          <w:pgSz w:w="11910" w:h="16840"/>
          <w:pgMar w:top="567" w:right="840" w:bottom="142" w:left="880" w:header="0" w:footer="702" w:gutter="0"/>
          <w:cols w:space="720"/>
        </w:sectPr>
      </w:pPr>
    </w:p>
    <w:p w14:paraId="24675AFA" w14:textId="36A067DD" w:rsidR="002450D4" w:rsidRPr="004B3C05" w:rsidRDefault="004B3C05" w:rsidP="00E61DD1">
      <w:pPr>
        <w:pStyle w:val="Heading1"/>
        <w:rPr>
          <w:caps w:val="0"/>
          <w:color w:val="008385"/>
        </w:rPr>
      </w:pPr>
      <w:bookmarkStart w:id="0" w:name="_Toc159429848"/>
      <w:bookmarkStart w:id="1" w:name="_Toc47518812"/>
      <w:r w:rsidRPr="004B3C05">
        <w:rPr>
          <w:caps w:val="0"/>
          <w:color w:val="008385"/>
        </w:rPr>
        <w:lastRenderedPageBreak/>
        <w:t>PURPOSE</w:t>
      </w:r>
      <w:bookmarkEnd w:id="0"/>
    </w:p>
    <w:p w14:paraId="6A4362AC" w14:textId="77777777" w:rsidR="003A36D6" w:rsidRPr="003F6DDE" w:rsidRDefault="003A36D6" w:rsidP="00E61DD1">
      <w:pPr>
        <w:pStyle w:val="Heading1"/>
        <w:numPr>
          <w:ilvl w:val="0"/>
          <w:numId w:val="0"/>
        </w:numPr>
        <w:ind w:left="762"/>
      </w:pPr>
    </w:p>
    <w:p w14:paraId="57004179" w14:textId="4236AC86" w:rsidR="009B0EFC" w:rsidRDefault="0055645D" w:rsidP="00E61DD1">
      <w:pPr>
        <w:pStyle w:val="Heading2"/>
        <w:numPr>
          <w:ilvl w:val="1"/>
          <w:numId w:val="4"/>
        </w:numPr>
        <w:spacing w:after="0"/>
        <w:jc w:val="both"/>
      </w:pPr>
      <w:r w:rsidRPr="003F6DDE">
        <w:t xml:space="preserve">This policy supports the requirements of the </w:t>
      </w:r>
      <w:hyperlink r:id="rId20" w:history="1">
        <w:r w:rsidRPr="009B0EFC">
          <w:rPr>
            <w:rStyle w:val="Hyperlink"/>
            <w:color w:val="auto"/>
            <w:u w:val="none"/>
          </w:rPr>
          <w:t>Patient Safety Incident Response Framework (PSIRF)</w:t>
        </w:r>
      </w:hyperlink>
      <w:r w:rsidRPr="003F6DDE">
        <w:t xml:space="preserve"> and sets out</w:t>
      </w:r>
      <w:r w:rsidR="00554F22" w:rsidRPr="003F6DDE">
        <w:t xml:space="preserve"> </w:t>
      </w:r>
      <w:r w:rsidR="003528C8">
        <w:t>Spire Healthcare</w:t>
      </w:r>
      <w:r w:rsidR="00554F22" w:rsidRPr="003F6DDE">
        <w:t>’s a</w:t>
      </w:r>
      <w:r w:rsidRPr="003F6DDE">
        <w:t>pproach to responding to patient safety incidents</w:t>
      </w:r>
      <w:r w:rsidR="00554F22" w:rsidRPr="003F6DDE">
        <w:t xml:space="preserve"> (PSIs)</w:t>
      </w:r>
      <w:r w:rsidRPr="003F6DDE">
        <w:t xml:space="preserve"> for the purpose of learning and improving patient safety.</w:t>
      </w:r>
    </w:p>
    <w:p w14:paraId="0DE9CC37" w14:textId="77777777" w:rsidR="00E47ECC" w:rsidRDefault="00E47ECC" w:rsidP="00E47ECC">
      <w:pPr>
        <w:pStyle w:val="Heading2"/>
        <w:numPr>
          <w:ilvl w:val="0"/>
          <w:numId w:val="0"/>
        </w:numPr>
        <w:spacing w:after="0"/>
        <w:ind w:left="762"/>
        <w:jc w:val="both"/>
      </w:pPr>
    </w:p>
    <w:p w14:paraId="2A95D44B" w14:textId="77777777" w:rsidR="009B0EFC" w:rsidRDefault="00554F22" w:rsidP="00E61DD1">
      <w:pPr>
        <w:pStyle w:val="Heading2"/>
        <w:numPr>
          <w:ilvl w:val="1"/>
          <w:numId w:val="4"/>
        </w:numPr>
        <w:spacing w:after="0"/>
        <w:jc w:val="both"/>
      </w:pPr>
      <w:r w:rsidRPr="00BF0914">
        <w:t>NHS England (2022) defined patient safety incidents as</w:t>
      </w:r>
      <w:r w:rsidR="00BF0914">
        <w:t>:</w:t>
      </w:r>
    </w:p>
    <w:p w14:paraId="4FE4A1D0" w14:textId="4D103A23" w:rsidR="009B0EFC" w:rsidRDefault="00554F22" w:rsidP="002A02C7">
      <w:pPr>
        <w:pStyle w:val="Heading2"/>
        <w:numPr>
          <w:ilvl w:val="0"/>
          <w:numId w:val="0"/>
        </w:numPr>
        <w:spacing w:after="0"/>
        <w:ind w:left="762"/>
        <w:jc w:val="center"/>
        <w:rPr>
          <w:b/>
          <w:bCs/>
          <w:i/>
          <w:iCs/>
          <w:color w:val="008385"/>
          <w:sz w:val="24"/>
        </w:rPr>
      </w:pPr>
      <w:r w:rsidRPr="009B0EFC">
        <w:rPr>
          <w:b/>
          <w:bCs/>
          <w:i/>
          <w:iCs/>
          <w:color w:val="008385"/>
          <w:sz w:val="24"/>
        </w:rPr>
        <w:t xml:space="preserve">‘…. unintended or unexpected events (including omissions) in healthcare that could, or did, harm one or more </w:t>
      </w:r>
      <w:r w:rsidR="003A08B8" w:rsidRPr="009B0EFC">
        <w:rPr>
          <w:b/>
          <w:bCs/>
          <w:i/>
          <w:iCs/>
          <w:color w:val="008385"/>
          <w:sz w:val="24"/>
        </w:rPr>
        <w:t>patients’.</w:t>
      </w:r>
    </w:p>
    <w:p w14:paraId="3212D81D" w14:textId="77777777" w:rsidR="00E47ECC" w:rsidRDefault="00E47ECC" w:rsidP="00E47ECC">
      <w:pPr>
        <w:pStyle w:val="Heading2"/>
        <w:numPr>
          <w:ilvl w:val="0"/>
          <w:numId w:val="0"/>
        </w:numPr>
        <w:spacing w:after="0"/>
        <w:ind w:left="762" w:hanging="567"/>
        <w:jc w:val="both"/>
      </w:pPr>
    </w:p>
    <w:p w14:paraId="5BBA2835" w14:textId="77777777" w:rsidR="00E47ECC" w:rsidRDefault="00554F22" w:rsidP="00E61DD1">
      <w:pPr>
        <w:pStyle w:val="Heading2"/>
        <w:numPr>
          <w:ilvl w:val="1"/>
          <w:numId w:val="4"/>
        </w:numPr>
        <w:spacing w:after="0"/>
        <w:jc w:val="both"/>
      </w:pPr>
      <w:r w:rsidRPr="00BF0914">
        <w:t xml:space="preserve">PSIRF supports organisations to respond to incidents in a way that maximises learning and </w:t>
      </w:r>
      <w:r w:rsidR="003F6DDE" w:rsidRPr="00BF0914">
        <w:t>improvement and</w:t>
      </w:r>
      <w:r w:rsidR="002450D4" w:rsidRPr="00BF0914">
        <w:t xml:space="preserve"> </w:t>
      </w:r>
      <w:r w:rsidR="0055645D" w:rsidRPr="00BF0914">
        <w:t>advocates a co-ordinated and data-driven response. It embeds patient safety incident response within a wider system of improvement and prompts a significant cultural shift towards systematic patient safety management.</w:t>
      </w:r>
    </w:p>
    <w:p w14:paraId="0B0645C0" w14:textId="17F98D9B" w:rsidR="003F6DDE" w:rsidRPr="009B0EFC" w:rsidRDefault="0055645D" w:rsidP="00E47ECC">
      <w:pPr>
        <w:pStyle w:val="Heading2"/>
        <w:numPr>
          <w:ilvl w:val="0"/>
          <w:numId w:val="0"/>
        </w:numPr>
        <w:spacing w:after="0"/>
        <w:ind w:left="762"/>
        <w:jc w:val="both"/>
      </w:pPr>
      <w:r w:rsidRPr="00BF0914">
        <w:t xml:space="preserve"> </w:t>
      </w:r>
    </w:p>
    <w:p w14:paraId="554DB444" w14:textId="77DEF01D" w:rsidR="003F6DDE" w:rsidRDefault="003F6DDE" w:rsidP="00E61DD1">
      <w:pPr>
        <w:pStyle w:val="Heading2"/>
        <w:spacing w:after="0"/>
        <w:jc w:val="both"/>
      </w:pPr>
      <w:r w:rsidRPr="00874C34">
        <w:rPr>
          <w:noProof/>
        </w:rPr>
        <w:drawing>
          <wp:anchor distT="0" distB="0" distL="114300" distR="114300" simplePos="0" relativeHeight="251658241" behindDoc="0" locked="0" layoutInCell="1" allowOverlap="1" wp14:anchorId="186AC9D3" wp14:editId="3577988E">
            <wp:simplePos x="0" y="0"/>
            <wp:positionH relativeFrom="margin">
              <wp:align>left</wp:align>
            </wp:positionH>
            <wp:positionV relativeFrom="paragraph">
              <wp:posOffset>424815</wp:posOffset>
            </wp:positionV>
            <wp:extent cx="6753225" cy="1152525"/>
            <wp:effectExtent l="57150" t="0" r="47625" b="0"/>
            <wp:wrapSquare wrapText="bothSides"/>
            <wp:docPr id="1376611926"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14:sizeRelH relativeFrom="margin">
              <wp14:pctWidth>0</wp14:pctWidth>
            </wp14:sizeRelH>
            <wp14:sizeRelV relativeFrom="margin">
              <wp14:pctHeight>0</wp14:pctHeight>
            </wp14:sizeRelV>
          </wp:anchor>
        </w:drawing>
      </w:r>
      <w:r w:rsidR="0055645D" w:rsidRPr="00874C34">
        <w:t>This</w:t>
      </w:r>
      <w:r w:rsidR="0055645D" w:rsidRPr="00BF0914">
        <w:t xml:space="preserve"> policy supports development and maintenance of an effective patient safety incident response system that integrates the four key aims of PSIRF:</w:t>
      </w:r>
      <w:bookmarkStart w:id="2" w:name="_Toc106014095"/>
      <w:bookmarkEnd w:id="1"/>
    </w:p>
    <w:p w14:paraId="1F19F2B5" w14:textId="2BE885BD" w:rsidR="009B0EFC" w:rsidRDefault="009B0EFC" w:rsidP="00E61DD1">
      <w:pPr>
        <w:pStyle w:val="Heading2"/>
        <w:spacing w:after="0"/>
        <w:ind w:left="709"/>
        <w:jc w:val="both"/>
      </w:pPr>
      <w:r w:rsidRPr="009B0EFC">
        <w:t xml:space="preserve">This policy should </w:t>
      </w:r>
      <w:r w:rsidR="003A08B8">
        <w:t xml:space="preserve">be </w:t>
      </w:r>
      <w:r w:rsidRPr="009B0EFC">
        <w:t>read in conjunction with our current patient safety incident response plan</w:t>
      </w:r>
      <w:r w:rsidR="002A02C7">
        <w:t xml:space="preserve"> </w:t>
      </w:r>
      <w:r w:rsidR="00A33D87">
        <w:t>(Appendix 1)</w:t>
      </w:r>
      <w:r w:rsidR="007524EA">
        <w:t>. The PSIRF plan details the organisation’s patient safety priorities for the year</w:t>
      </w:r>
      <w:r w:rsidR="009D3404">
        <w:t xml:space="preserve">. </w:t>
      </w:r>
    </w:p>
    <w:p w14:paraId="55D0419D" w14:textId="77777777" w:rsidR="00E47ECC" w:rsidRDefault="00E47ECC" w:rsidP="00E47ECC">
      <w:pPr>
        <w:pStyle w:val="Heading2"/>
        <w:numPr>
          <w:ilvl w:val="0"/>
          <w:numId w:val="0"/>
        </w:numPr>
        <w:spacing w:after="0"/>
        <w:ind w:left="709"/>
        <w:jc w:val="both"/>
      </w:pPr>
    </w:p>
    <w:p w14:paraId="63BD713A" w14:textId="7317A651" w:rsidR="00515F41" w:rsidRPr="005D59F0" w:rsidRDefault="002A02C7" w:rsidP="00E61DD1">
      <w:pPr>
        <w:pStyle w:val="Heading2"/>
        <w:spacing w:after="0"/>
        <w:ind w:left="709"/>
        <w:jc w:val="both"/>
      </w:pPr>
      <w:r w:rsidRPr="005D59F0">
        <w:t>Spire Healthcare h</w:t>
      </w:r>
      <w:r w:rsidR="00171EE0" w:rsidRPr="005D59F0">
        <w:t xml:space="preserve">as committed to ensuring that we fully embed the PSIRF and meet its requirements. We have therefore used the NHS England patient safety response standards (2022) to frame the resources and training required for </w:t>
      </w:r>
      <w:r w:rsidRPr="005D59F0">
        <w:t xml:space="preserve">all </w:t>
      </w:r>
      <w:r w:rsidR="00171EE0" w:rsidRPr="005D59F0">
        <w:t xml:space="preserve">our </w:t>
      </w:r>
      <w:r w:rsidRPr="005D59F0">
        <w:t>colleagues</w:t>
      </w:r>
      <w:r w:rsidR="00171EE0" w:rsidRPr="005D59F0">
        <w:t xml:space="preserve"> including specific training for those involved in patient safety incidents.  </w:t>
      </w:r>
    </w:p>
    <w:p w14:paraId="6214A2D4" w14:textId="77777777" w:rsidR="00D95289" w:rsidRDefault="00D95289" w:rsidP="00E61DD1">
      <w:pPr>
        <w:pStyle w:val="Heading2"/>
        <w:numPr>
          <w:ilvl w:val="0"/>
          <w:numId w:val="0"/>
        </w:numPr>
        <w:spacing w:after="0"/>
      </w:pPr>
    </w:p>
    <w:p w14:paraId="53733AD5" w14:textId="64325A00" w:rsidR="0055645D" w:rsidRPr="004B3C05" w:rsidRDefault="004B3C05" w:rsidP="00E61DD1">
      <w:pPr>
        <w:pStyle w:val="Heading1"/>
        <w:rPr>
          <w:caps w:val="0"/>
          <w:color w:val="008385"/>
        </w:rPr>
      </w:pPr>
      <w:bookmarkStart w:id="3" w:name="_Toc159429849"/>
      <w:r w:rsidRPr="004B3C05">
        <w:rPr>
          <w:caps w:val="0"/>
          <w:color w:val="008385"/>
        </w:rPr>
        <w:t>SCOPE</w:t>
      </w:r>
      <w:bookmarkEnd w:id="2"/>
      <w:bookmarkEnd w:id="3"/>
    </w:p>
    <w:p w14:paraId="15EB49BB" w14:textId="77777777" w:rsidR="003A36D6" w:rsidRPr="003F6DDE" w:rsidRDefault="003A36D6" w:rsidP="00E61DD1">
      <w:pPr>
        <w:pStyle w:val="Heading1"/>
        <w:numPr>
          <w:ilvl w:val="0"/>
          <w:numId w:val="0"/>
        </w:numPr>
        <w:ind w:left="762"/>
      </w:pPr>
    </w:p>
    <w:p w14:paraId="44381E40" w14:textId="1A5482F3" w:rsidR="009B0EFC" w:rsidRDefault="0055645D" w:rsidP="00E61DD1">
      <w:pPr>
        <w:pStyle w:val="Heading2"/>
        <w:numPr>
          <w:ilvl w:val="1"/>
          <w:numId w:val="6"/>
        </w:numPr>
        <w:spacing w:after="0"/>
        <w:jc w:val="both"/>
      </w:pPr>
      <w:bookmarkStart w:id="4" w:name="_Toc63428901"/>
      <w:bookmarkStart w:id="5" w:name="_Toc63435118"/>
      <w:bookmarkStart w:id="6" w:name="_Toc63435251"/>
      <w:bookmarkStart w:id="7" w:name="_Toc63780421"/>
      <w:bookmarkStart w:id="8" w:name="_Toc63780474"/>
      <w:r w:rsidRPr="00BF0914">
        <w:t>This policy is specific to patient safety incident responses conducted solely for the purpose of learning and improvement across</w:t>
      </w:r>
      <w:r w:rsidR="00DB3406">
        <w:t xml:space="preserve"> all </w:t>
      </w:r>
      <w:r w:rsidR="003A08B8">
        <w:t xml:space="preserve">of </w:t>
      </w:r>
      <w:r w:rsidR="003528C8">
        <w:t>Spire Healthcare</w:t>
      </w:r>
      <w:r w:rsidR="00DB3406">
        <w:t>’s</w:t>
      </w:r>
      <w:r w:rsidR="005909BF">
        <w:t xml:space="preserve"> clinical services including</w:t>
      </w:r>
      <w:r w:rsidR="00DB3406">
        <w:t>:</w:t>
      </w:r>
    </w:p>
    <w:p w14:paraId="2E09101A" w14:textId="51DCF00C" w:rsidR="003A36D6" w:rsidRDefault="009502D5" w:rsidP="00E61DD1">
      <w:pPr>
        <w:pStyle w:val="Heading2"/>
        <w:numPr>
          <w:ilvl w:val="0"/>
          <w:numId w:val="7"/>
        </w:numPr>
        <w:spacing w:after="0"/>
        <w:jc w:val="both"/>
      </w:pPr>
      <w:r w:rsidRPr="009B0EFC">
        <w:t>3</w:t>
      </w:r>
      <w:r>
        <w:t>9</w:t>
      </w:r>
      <w:r w:rsidRPr="009B0EFC">
        <w:t xml:space="preserve"> </w:t>
      </w:r>
      <w:r w:rsidR="00DB3406" w:rsidRPr="009B0EFC">
        <w:t xml:space="preserve">hospitals </w:t>
      </w:r>
      <w:r w:rsidR="00683142">
        <w:t>(</w:t>
      </w:r>
      <w:r w:rsidR="00DB3406" w:rsidRPr="009B0EFC">
        <w:t>England (35), Scotland (2) and Wales (2)</w:t>
      </w:r>
      <w:r w:rsidR="00683142">
        <w:t>)</w:t>
      </w:r>
      <w:r w:rsidR="00DB3406" w:rsidRPr="009B0EFC">
        <w:t xml:space="preserve"> delivering all, or a selection of, the following: </w:t>
      </w:r>
    </w:p>
    <w:p w14:paraId="530C8FDC" w14:textId="41DCA996" w:rsidR="003A36D6" w:rsidRDefault="00DB3406" w:rsidP="00E61DD1">
      <w:pPr>
        <w:pStyle w:val="Heading2"/>
        <w:numPr>
          <w:ilvl w:val="1"/>
          <w:numId w:val="7"/>
        </w:numPr>
        <w:spacing w:after="0"/>
        <w:jc w:val="both"/>
      </w:pPr>
      <w:r w:rsidRPr="003A36D6">
        <w:t xml:space="preserve">planned surgery to </w:t>
      </w:r>
      <w:r w:rsidR="004B3C05" w:rsidRPr="003A36D6">
        <w:t>adults.</w:t>
      </w:r>
    </w:p>
    <w:p w14:paraId="634CA3B4" w14:textId="5FCCDADE" w:rsidR="003A36D6" w:rsidRDefault="00DB3406" w:rsidP="00E61DD1">
      <w:pPr>
        <w:pStyle w:val="Heading2"/>
        <w:numPr>
          <w:ilvl w:val="1"/>
          <w:numId w:val="7"/>
        </w:numPr>
        <w:spacing w:after="0"/>
        <w:jc w:val="both"/>
      </w:pPr>
      <w:r w:rsidRPr="003A36D6">
        <w:t xml:space="preserve">planned surgery to children and young </w:t>
      </w:r>
      <w:r w:rsidR="004B3C05" w:rsidRPr="003A36D6">
        <w:t>people.</w:t>
      </w:r>
    </w:p>
    <w:p w14:paraId="389DCD55" w14:textId="2B083023" w:rsidR="009502D5" w:rsidRDefault="00DB3406" w:rsidP="00E61DD1">
      <w:pPr>
        <w:pStyle w:val="Heading2"/>
        <w:numPr>
          <w:ilvl w:val="1"/>
          <w:numId w:val="7"/>
        </w:numPr>
        <w:spacing w:after="0"/>
        <w:jc w:val="both"/>
      </w:pPr>
      <w:r w:rsidRPr="003A36D6">
        <w:t>cancer services</w:t>
      </w:r>
    </w:p>
    <w:p w14:paraId="2FA24BA7" w14:textId="0F1BC091" w:rsidR="003A36D6" w:rsidRDefault="00DB3406" w:rsidP="00E61DD1">
      <w:pPr>
        <w:pStyle w:val="Heading2"/>
        <w:numPr>
          <w:ilvl w:val="1"/>
          <w:numId w:val="7"/>
        </w:numPr>
        <w:spacing w:after="0"/>
        <w:jc w:val="both"/>
      </w:pPr>
      <w:r w:rsidRPr="003A36D6">
        <w:t>diagnostic services (</w:t>
      </w:r>
      <w:r w:rsidR="00B566F1" w:rsidRPr="003A36D6">
        <w:t xml:space="preserve">e.g., imaging </w:t>
      </w:r>
      <w:r w:rsidRPr="003A36D6">
        <w:t xml:space="preserve">or </w:t>
      </w:r>
      <w:r w:rsidR="00B566F1" w:rsidRPr="003A36D6">
        <w:t>pathology</w:t>
      </w:r>
      <w:r w:rsidRPr="003A36D6">
        <w:t>)</w:t>
      </w:r>
    </w:p>
    <w:p w14:paraId="6E27DBD5" w14:textId="77777777" w:rsidR="003A36D6" w:rsidRDefault="00DB3406" w:rsidP="00E61DD1">
      <w:pPr>
        <w:pStyle w:val="Heading2"/>
        <w:numPr>
          <w:ilvl w:val="1"/>
          <w:numId w:val="7"/>
        </w:numPr>
        <w:spacing w:after="0"/>
        <w:jc w:val="both"/>
      </w:pPr>
      <w:r w:rsidRPr="003A36D6">
        <w:t xml:space="preserve">decontamination (sterilisation) services </w:t>
      </w:r>
    </w:p>
    <w:p w14:paraId="3E9AEAE4" w14:textId="2BE166E2" w:rsidR="003A36D6" w:rsidRDefault="00DB3406" w:rsidP="00E61DD1">
      <w:pPr>
        <w:pStyle w:val="Heading2"/>
        <w:numPr>
          <w:ilvl w:val="1"/>
          <w:numId w:val="7"/>
        </w:numPr>
        <w:spacing w:after="0"/>
        <w:jc w:val="both"/>
      </w:pPr>
      <w:r w:rsidRPr="003A36D6">
        <w:t>critical care (for example, intensive care, following surgical or medical procedures</w:t>
      </w:r>
      <w:r w:rsidR="009502D5">
        <w:t>)</w:t>
      </w:r>
      <w:r w:rsidRPr="003A36D6">
        <w:t>.</w:t>
      </w:r>
    </w:p>
    <w:p w14:paraId="7D7A9CC8" w14:textId="2C8815A8" w:rsidR="003A36D6" w:rsidRPr="00D12333" w:rsidRDefault="007511EA" w:rsidP="00E61DD1">
      <w:pPr>
        <w:pStyle w:val="Heading2"/>
        <w:numPr>
          <w:ilvl w:val="0"/>
          <w:numId w:val="7"/>
        </w:numPr>
        <w:spacing w:after="0"/>
        <w:jc w:val="both"/>
      </w:pPr>
      <w:r>
        <w:t xml:space="preserve">Spire </w:t>
      </w:r>
      <w:r w:rsidR="00C84612" w:rsidRPr="00D12333">
        <w:t>Clinics</w:t>
      </w:r>
    </w:p>
    <w:p w14:paraId="57605964" w14:textId="2D6B03B9" w:rsidR="00C84612" w:rsidRDefault="00C84612" w:rsidP="00E61DD1">
      <w:pPr>
        <w:pStyle w:val="Heading2"/>
        <w:numPr>
          <w:ilvl w:val="0"/>
          <w:numId w:val="7"/>
        </w:numPr>
        <w:spacing w:after="0"/>
        <w:jc w:val="both"/>
      </w:pPr>
      <w:r w:rsidRPr="00D12333">
        <w:t>Primary Care services</w:t>
      </w:r>
    </w:p>
    <w:p w14:paraId="4D1B1E4E" w14:textId="5C1BE4F7" w:rsidR="00B95D24" w:rsidRDefault="00B95D24" w:rsidP="00E61DD1">
      <w:pPr>
        <w:pStyle w:val="Heading2"/>
        <w:numPr>
          <w:ilvl w:val="0"/>
          <w:numId w:val="7"/>
        </w:numPr>
        <w:spacing w:after="0"/>
        <w:jc w:val="both"/>
      </w:pPr>
      <w:r>
        <w:t xml:space="preserve">Vita </w:t>
      </w:r>
    </w:p>
    <w:p w14:paraId="068ED54D" w14:textId="77777777" w:rsidR="00C423F2" w:rsidRPr="00D12333" w:rsidRDefault="00C423F2" w:rsidP="00C423F2">
      <w:pPr>
        <w:pStyle w:val="Heading2"/>
        <w:numPr>
          <w:ilvl w:val="0"/>
          <w:numId w:val="0"/>
        </w:numPr>
        <w:spacing w:after="0"/>
        <w:ind w:left="720"/>
        <w:jc w:val="both"/>
      </w:pPr>
    </w:p>
    <w:p w14:paraId="62666452" w14:textId="29ADBB91" w:rsidR="00DB3406" w:rsidRDefault="00DB3406" w:rsidP="00E61DD1">
      <w:pPr>
        <w:pStyle w:val="Heading2"/>
        <w:spacing w:after="0"/>
        <w:jc w:val="both"/>
      </w:pPr>
      <w:r w:rsidRPr="00DB3406">
        <w:t>This policy relates to responses to patient safety incidents that are solely for the purpose of learning and improvement. Any response</w:t>
      </w:r>
      <w:r w:rsidR="008512AF">
        <w:t xml:space="preserve"> </w:t>
      </w:r>
      <w:r w:rsidRPr="00DB3406">
        <w:t>that seeks to find liability, accountability or causality is beyond the scope of this policy</w:t>
      </w:r>
      <w:r w:rsidR="002A02C7">
        <w:t xml:space="preserve"> (see below at 2.3)</w:t>
      </w:r>
      <w:r w:rsidRPr="00DB3406">
        <w:t xml:space="preserve">.  </w:t>
      </w:r>
    </w:p>
    <w:p w14:paraId="78FE0674" w14:textId="1CF783B4" w:rsidR="009258FE" w:rsidRDefault="00C84612" w:rsidP="00E61DD1">
      <w:pPr>
        <w:pStyle w:val="Heading2"/>
        <w:spacing w:after="0"/>
        <w:jc w:val="both"/>
      </w:pPr>
      <w:r w:rsidRPr="009258FE">
        <w:t>Other processes, such as those shown below differ from those of a patient safety incident</w:t>
      </w:r>
      <w:r w:rsidR="009258FE" w:rsidRPr="009258FE">
        <w:t xml:space="preserve"> </w:t>
      </w:r>
      <w:r w:rsidRPr="009258FE">
        <w:t>response and are not included in this policy:</w:t>
      </w:r>
    </w:p>
    <w:p w14:paraId="521D20E8" w14:textId="6FD44242" w:rsidR="009258FE" w:rsidRDefault="00C84612" w:rsidP="00E61DD1">
      <w:pPr>
        <w:pStyle w:val="ListParagraph"/>
        <w:numPr>
          <w:ilvl w:val="0"/>
          <w:numId w:val="5"/>
        </w:numPr>
        <w:spacing w:line="360" w:lineRule="atLeast"/>
        <w:ind w:right="119"/>
        <w:jc w:val="both"/>
        <w:rPr>
          <w:rFonts w:asciiTheme="majorHAnsi" w:hAnsiTheme="majorHAnsi" w:cstheme="majorHAnsi"/>
        </w:rPr>
      </w:pPr>
      <w:r w:rsidRPr="009258FE">
        <w:rPr>
          <w:rFonts w:asciiTheme="majorHAnsi" w:hAnsiTheme="majorHAnsi" w:cstheme="majorHAnsi"/>
        </w:rPr>
        <w:t xml:space="preserve">Legal </w:t>
      </w:r>
      <w:r w:rsidRPr="0074248B">
        <w:rPr>
          <w:rFonts w:asciiTheme="majorHAnsi" w:hAnsiTheme="majorHAnsi" w:cstheme="majorHAnsi"/>
        </w:rPr>
        <w:t>Claims</w:t>
      </w:r>
      <w:r w:rsidR="009258FE" w:rsidRPr="0074248B">
        <w:rPr>
          <w:rFonts w:asciiTheme="majorHAnsi" w:hAnsiTheme="majorHAnsi" w:cstheme="majorHAnsi"/>
        </w:rPr>
        <w:t xml:space="preserve"> (</w:t>
      </w:r>
      <w:r w:rsidR="00CE6BCA" w:rsidRPr="0074248B">
        <w:rPr>
          <w:rFonts w:asciiTheme="majorHAnsi" w:hAnsiTheme="majorHAnsi" w:cstheme="majorHAnsi"/>
        </w:rPr>
        <w:t>FIN14</w:t>
      </w:r>
      <w:r w:rsidR="009258FE" w:rsidRPr="0074248B">
        <w:rPr>
          <w:rFonts w:asciiTheme="majorHAnsi" w:hAnsiTheme="majorHAnsi" w:cstheme="majorHAnsi"/>
        </w:rPr>
        <w:t>)</w:t>
      </w:r>
    </w:p>
    <w:p w14:paraId="57222873" w14:textId="77777777" w:rsidR="00A060DD" w:rsidRDefault="009258FE" w:rsidP="00E61DD1">
      <w:pPr>
        <w:pStyle w:val="ListParagraph"/>
        <w:numPr>
          <w:ilvl w:val="0"/>
          <w:numId w:val="5"/>
        </w:numPr>
        <w:spacing w:line="360" w:lineRule="atLeast"/>
        <w:ind w:right="119"/>
        <w:jc w:val="both"/>
        <w:rPr>
          <w:rFonts w:asciiTheme="majorHAnsi" w:hAnsiTheme="majorHAnsi" w:cstheme="majorHAnsi"/>
        </w:rPr>
      </w:pPr>
      <w:r w:rsidRPr="00A060DD">
        <w:rPr>
          <w:rFonts w:asciiTheme="majorHAnsi" w:hAnsiTheme="majorHAnsi" w:cstheme="majorHAnsi"/>
        </w:rPr>
        <w:t>Coroners’</w:t>
      </w:r>
      <w:r w:rsidR="00C84612" w:rsidRPr="00A060DD">
        <w:rPr>
          <w:rFonts w:asciiTheme="majorHAnsi" w:hAnsiTheme="majorHAnsi" w:cstheme="majorHAnsi"/>
        </w:rPr>
        <w:t xml:space="preserve"> </w:t>
      </w:r>
      <w:r w:rsidR="0090210B" w:rsidRPr="00A060DD">
        <w:rPr>
          <w:rFonts w:asciiTheme="majorHAnsi" w:hAnsiTheme="majorHAnsi" w:cstheme="majorHAnsi"/>
        </w:rPr>
        <w:t>in</w:t>
      </w:r>
      <w:r w:rsidR="00A060DD" w:rsidRPr="00A060DD">
        <w:rPr>
          <w:rFonts w:asciiTheme="majorHAnsi" w:hAnsiTheme="majorHAnsi" w:cstheme="majorHAnsi"/>
        </w:rPr>
        <w:t>vestigations</w:t>
      </w:r>
    </w:p>
    <w:p w14:paraId="6CE8CA62" w14:textId="112A00F4" w:rsidR="009258FE" w:rsidRPr="00A060DD" w:rsidRDefault="00C84612" w:rsidP="00E61DD1">
      <w:pPr>
        <w:pStyle w:val="ListParagraph"/>
        <w:numPr>
          <w:ilvl w:val="0"/>
          <w:numId w:val="5"/>
        </w:numPr>
        <w:spacing w:line="360" w:lineRule="atLeast"/>
        <w:ind w:right="119"/>
        <w:jc w:val="both"/>
        <w:rPr>
          <w:rFonts w:asciiTheme="majorHAnsi" w:hAnsiTheme="majorHAnsi" w:cstheme="majorHAnsi"/>
        </w:rPr>
      </w:pPr>
      <w:r w:rsidRPr="00A060DD">
        <w:rPr>
          <w:rFonts w:asciiTheme="majorHAnsi" w:hAnsiTheme="majorHAnsi" w:cstheme="majorHAnsi"/>
        </w:rPr>
        <w:t xml:space="preserve">Police </w:t>
      </w:r>
      <w:r w:rsidR="00A060DD">
        <w:rPr>
          <w:rFonts w:asciiTheme="majorHAnsi" w:hAnsiTheme="majorHAnsi" w:cstheme="majorHAnsi"/>
        </w:rPr>
        <w:t>investigations</w:t>
      </w:r>
    </w:p>
    <w:p w14:paraId="7FD6E294" w14:textId="3CF5B9C8" w:rsidR="009258FE" w:rsidRDefault="009258FE" w:rsidP="00E61DD1">
      <w:pPr>
        <w:pStyle w:val="ListParagraph"/>
        <w:numPr>
          <w:ilvl w:val="0"/>
          <w:numId w:val="5"/>
        </w:numPr>
        <w:spacing w:line="360" w:lineRule="atLeast"/>
        <w:ind w:right="119"/>
        <w:jc w:val="both"/>
        <w:rPr>
          <w:rFonts w:asciiTheme="majorHAnsi" w:hAnsiTheme="majorHAnsi" w:cstheme="majorHAnsi"/>
        </w:rPr>
      </w:pPr>
      <w:r w:rsidRPr="009258FE">
        <w:rPr>
          <w:rFonts w:asciiTheme="majorHAnsi" w:hAnsiTheme="majorHAnsi" w:cstheme="majorHAnsi"/>
        </w:rPr>
        <w:lastRenderedPageBreak/>
        <w:t xml:space="preserve">Human Resources </w:t>
      </w:r>
      <w:r w:rsidR="00823BB3">
        <w:rPr>
          <w:rFonts w:asciiTheme="majorHAnsi" w:hAnsiTheme="majorHAnsi" w:cstheme="majorHAnsi"/>
        </w:rPr>
        <w:t>investigations (</w:t>
      </w:r>
      <w:r w:rsidR="009A7AF1">
        <w:rPr>
          <w:rFonts w:asciiTheme="majorHAnsi" w:hAnsiTheme="majorHAnsi" w:cstheme="majorHAnsi"/>
        </w:rPr>
        <w:t>HR15)</w:t>
      </w:r>
    </w:p>
    <w:p w14:paraId="2F175831" w14:textId="33909B75" w:rsidR="009258FE" w:rsidRDefault="00C84612" w:rsidP="00E61DD1">
      <w:pPr>
        <w:pStyle w:val="ListParagraph"/>
        <w:numPr>
          <w:ilvl w:val="0"/>
          <w:numId w:val="5"/>
        </w:numPr>
        <w:spacing w:line="360" w:lineRule="atLeast"/>
        <w:ind w:right="119"/>
        <w:jc w:val="both"/>
        <w:rPr>
          <w:rFonts w:asciiTheme="majorHAnsi" w:hAnsiTheme="majorHAnsi" w:cstheme="majorHAnsi"/>
        </w:rPr>
      </w:pPr>
      <w:r w:rsidRPr="009258FE">
        <w:rPr>
          <w:rFonts w:asciiTheme="majorHAnsi" w:hAnsiTheme="majorHAnsi" w:cstheme="majorHAnsi"/>
        </w:rPr>
        <w:t>Complaints</w:t>
      </w:r>
      <w:r w:rsidR="009258FE">
        <w:rPr>
          <w:rFonts w:asciiTheme="majorHAnsi" w:hAnsiTheme="majorHAnsi" w:cstheme="majorHAnsi"/>
        </w:rPr>
        <w:t xml:space="preserve"> </w:t>
      </w:r>
      <w:r w:rsidR="009258FE" w:rsidRPr="0074248B">
        <w:rPr>
          <w:rFonts w:asciiTheme="majorHAnsi" w:hAnsiTheme="majorHAnsi" w:cstheme="majorHAnsi"/>
        </w:rPr>
        <w:t>(</w:t>
      </w:r>
      <w:r w:rsidR="002B7019" w:rsidRPr="0074248B">
        <w:rPr>
          <w:rFonts w:asciiTheme="majorHAnsi" w:hAnsiTheme="majorHAnsi" w:cstheme="majorHAnsi"/>
        </w:rPr>
        <w:t>HOP02</w:t>
      </w:r>
      <w:r w:rsidR="009258FE" w:rsidRPr="0074248B">
        <w:rPr>
          <w:rFonts w:asciiTheme="majorHAnsi" w:hAnsiTheme="majorHAnsi" w:cstheme="majorHAnsi"/>
        </w:rPr>
        <w:t>)</w:t>
      </w:r>
    </w:p>
    <w:p w14:paraId="22C308AD" w14:textId="5266179D" w:rsidR="009258FE" w:rsidRDefault="00C84612" w:rsidP="00E61DD1">
      <w:pPr>
        <w:pStyle w:val="ListParagraph"/>
        <w:numPr>
          <w:ilvl w:val="0"/>
          <w:numId w:val="5"/>
        </w:numPr>
        <w:spacing w:line="360" w:lineRule="atLeast"/>
        <w:ind w:right="119"/>
        <w:jc w:val="both"/>
        <w:rPr>
          <w:rFonts w:asciiTheme="majorHAnsi" w:hAnsiTheme="majorHAnsi" w:cstheme="majorHAnsi"/>
        </w:rPr>
      </w:pPr>
      <w:r w:rsidRPr="009258FE">
        <w:rPr>
          <w:rFonts w:asciiTheme="majorHAnsi" w:hAnsiTheme="majorHAnsi" w:cstheme="majorHAnsi"/>
        </w:rPr>
        <w:t xml:space="preserve">Financial </w:t>
      </w:r>
      <w:r w:rsidR="00A060DD">
        <w:rPr>
          <w:rFonts w:asciiTheme="majorHAnsi" w:hAnsiTheme="majorHAnsi" w:cstheme="majorHAnsi"/>
        </w:rPr>
        <w:t>investigations</w:t>
      </w:r>
      <w:r w:rsidR="00093310">
        <w:rPr>
          <w:rFonts w:asciiTheme="majorHAnsi" w:hAnsiTheme="majorHAnsi" w:cstheme="majorHAnsi"/>
        </w:rPr>
        <w:t xml:space="preserve"> (</w:t>
      </w:r>
      <w:r w:rsidR="00EC4424">
        <w:rPr>
          <w:rFonts w:asciiTheme="majorHAnsi" w:hAnsiTheme="majorHAnsi" w:cstheme="majorHAnsi"/>
        </w:rPr>
        <w:t>FIN 24)</w:t>
      </w:r>
    </w:p>
    <w:p w14:paraId="2FE23657" w14:textId="3C701EA1" w:rsidR="009258FE" w:rsidRDefault="009258FE" w:rsidP="00E61DD1">
      <w:pPr>
        <w:pStyle w:val="ListParagraph"/>
        <w:numPr>
          <w:ilvl w:val="0"/>
          <w:numId w:val="5"/>
        </w:numPr>
        <w:spacing w:line="360" w:lineRule="atLeast"/>
        <w:ind w:right="119"/>
        <w:jc w:val="both"/>
        <w:rPr>
          <w:rFonts w:asciiTheme="majorHAnsi" w:hAnsiTheme="majorHAnsi" w:cstheme="majorHAnsi"/>
        </w:rPr>
      </w:pPr>
      <w:r w:rsidRPr="009258FE">
        <w:rPr>
          <w:rFonts w:asciiTheme="majorHAnsi" w:hAnsiTheme="majorHAnsi" w:cstheme="majorHAnsi"/>
        </w:rPr>
        <w:t xml:space="preserve">Medical Professional Standards </w:t>
      </w:r>
      <w:r w:rsidR="00A060DD">
        <w:rPr>
          <w:rFonts w:asciiTheme="majorHAnsi" w:hAnsiTheme="majorHAnsi" w:cstheme="majorHAnsi"/>
        </w:rPr>
        <w:t>investigations</w:t>
      </w:r>
      <w:r w:rsidR="00320539">
        <w:rPr>
          <w:rFonts w:asciiTheme="majorHAnsi" w:hAnsiTheme="majorHAnsi" w:cstheme="majorHAnsi"/>
        </w:rPr>
        <w:t xml:space="preserve"> (MED06)</w:t>
      </w:r>
    </w:p>
    <w:p w14:paraId="7F352B52" w14:textId="6FAD1FA7" w:rsidR="009258FE" w:rsidRDefault="008C6F40" w:rsidP="00E61DD1">
      <w:pPr>
        <w:pStyle w:val="ListParagraph"/>
        <w:numPr>
          <w:ilvl w:val="0"/>
          <w:numId w:val="5"/>
        </w:numPr>
        <w:spacing w:line="360" w:lineRule="atLeast"/>
        <w:ind w:right="119"/>
        <w:jc w:val="both"/>
        <w:rPr>
          <w:rFonts w:asciiTheme="majorHAnsi" w:hAnsiTheme="majorHAnsi" w:cstheme="majorHAnsi"/>
        </w:rPr>
      </w:pPr>
      <w:r>
        <w:rPr>
          <w:rFonts w:asciiTheme="majorHAnsi" w:hAnsiTheme="majorHAnsi" w:cstheme="majorHAnsi"/>
        </w:rPr>
        <w:t>S</w:t>
      </w:r>
      <w:r w:rsidR="009258FE" w:rsidRPr="009258FE">
        <w:rPr>
          <w:rFonts w:asciiTheme="majorHAnsi" w:hAnsiTheme="majorHAnsi" w:cstheme="majorHAnsi"/>
        </w:rPr>
        <w:t>afeguarding concern</w:t>
      </w:r>
      <w:r w:rsidR="009258FE" w:rsidRPr="0074248B">
        <w:rPr>
          <w:rFonts w:asciiTheme="majorHAnsi" w:hAnsiTheme="majorHAnsi" w:cstheme="majorHAnsi"/>
        </w:rPr>
        <w:t>s (</w:t>
      </w:r>
      <w:r w:rsidR="0074248B" w:rsidRPr="0074248B">
        <w:rPr>
          <w:rFonts w:asciiTheme="majorHAnsi" w:hAnsiTheme="majorHAnsi" w:cstheme="majorHAnsi"/>
        </w:rPr>
        <w:t>Clini10</w:t>
      </w:r>
      <w:r w:rsidR="009258FE" w:rsidRPr="0074248B">
        <w:rPr>
          <w:rFonts w:asciiTheme="majorHAnsi" w:hAnsiTheme="majorHAnsi" w:cstheme="majorHAnsi"/>
        </w:rPr>
        <w:t>)</w:t>
      </w:r>
    </w:p>
    <w:p w14:paraId="672E8F97" w14:textId="48BEFA40" w:rsidR="009258FE" w:rsidRPr="0069676A" w:rsidRDefault="009258FE" w:rsidP="00E61DD1">
      <w:pPr>
        <w:pStyle w:val="ListParagraph"/>
        <w:numPr>
          <w:ilvl w:val="0"/>
          <w:numId w:val="5"/>
        </w:numPr>
        <w:spacing w:line="360" w:lineRule="atLeast"/>
        <w:ind w:right="119"/>
        <w:jc w:val="both"/>
        <w:rPr>
          <w:rFonts w:asciiTheme="majorHAnsi" w:hAnsiTheme="majorHAnsi" w:cstheme="majorHAnsi"/>
        </w:rPr>
      </w:pPr>
      <w:r>
        <w:rPr>
          <w:rFonts w:asciiTheme="majorHAnsi" w:hAnsiTheme="majorHAnsi" w:cstheme="majorHAnsi"/>
        </w:rPr>
        <w:t>Non</w:t>
      </w:r>
      <w:r w:rsidRPr="0069676A">
        <w:rPr>
          <w:rFonts w:asciiTheme="majorHAnsi" w:hAnsiTheme="majorHAnsi" w:cstheme="majorHAnsi"/>
        </w:rPr>
        <w:t xml:space="preserve">-Patient Safety </w:t>
      </w:r>
      <w:r w:rsidR="0090210B" w:rsidRPr="0069676A">
        <w:rPr>
          <w:rFonts w:asciiTheme="majorHAnsi" w:hAnsiTheme="majorHAnsi" w:cstheme="majorHAnsi"/>
        </w:rPr>
        <w:t>incident response</w:t>
      </w:r>
      <w:r w:rsidRPr="0069676A">
        <w:rPr>
          <w:rFonts w:asciiTheme="majorHAnsi" w:hAnsiTheme="majorHAnsi" w:cstheme="majorHAnsi"/>
        </w:rPr>
        <w:t xml:space="preserve">s </w:t>
      </w:r>
      <w:r w:rsidR="00320539" w:rsidRPr="00080301">
        <w:rPr>
          <w:rFonts w:asciiTheme="majorHAnsi" w:hAnsiTheme="majorHAnsi" w:cstheme="majorHAnsi"/>
        </w:rPr>
        <w:t>(</w:t>
      </w:r>
      <w:r w:rsidR="002A02C7">
        <w:rPr>
          <w:rFonts w:asciiTheme="majorHAnsi" w:hAnsiTheme="majorHAnsi" w:cstheme="majorHAnsi"/>
        </w:rPr>
        <w:t xml:space="preserve">Policy no. </w:t>
      </w:r>
      <w:r w:rsidR="00320539" w:rsidRPr="00080301">
        <w:rPr>
          <w:rFonts w:asciiTheme="majorHAnsi" w:hAnsiTheme="majorHAnsi" w:cstheme="majorHAnsi"/>
        </w:rPr>
        <w:t>TBC)</w:t>
      </w:r>
    </w:p>
    <w:p w14:paraId="163FBBED" w14:textId="77777777" w:rsidR="009258FE" w:rsidRDefault="009258FE" w:rsidP="00E61DD1">
      <w:pPr>
        <w:pStyle w:val="ListParagraph"/>
        <w:numPr>
          <w:ilvl w:val="1"/>
          <w:numId w:val="5"/>
        </w:numPr>
        <w:spacing w:line="360" w:lineRule="atLeast"/>
        <w:ind w:right="119"/>
        <w:jc w:val="both"/>
        <w:rPr>
          <w:rFonts w:asciiTheme="majorHAnsi" w:hAnsiTheme="majorHAnsi" w:cstheme="majorHAnsi"/>
        </w:rPr>
      </w:pPr>
      <w:r w:rsidRPr="009258FE">
        <w:rPr>
          <w:rFonts w:asciiTheme="majorHAnsi" w:hAnsiTheme="majorHAnsi" w:cstheme="majorHAnsi"/>
        </w:rPr>
        <w:t>Health and Safety</w:t>
      </w:r>
    </w:p>
    <w:p w14:paraId="1EEB14E1" w14:textId="7C03DA78" w:rsidR="009258FE" w:rsidRDefault="009258FE" w:rsidP="00E61DD1">
      <w:pPr>
        <w:pStyle w:val="ListParagraph"/>
        <w:numPr>
          <w:ilvl w:val="1"/>
          <w:numId w:val="5"/>
        </w:numPr>
        <w:spacing w:line="360" w:lineRule="atLeast"/>
        <w:ind w:right="119"/>
        <w:jc w:val="both"/>
        <w:rPr>
          <w:rFonts w:asciiTheme="majorHAnsi" w:hAnsiTheme="majorHAnsi" w:cstheme="majorHAnsi"/>
        </w:rPr>
      </w:pPr>
      <w:r>
        <w:rPr>
          <w:rFonts w:asciiTheme="majorHAnsi" w:hAnsiTheme="majorHAnsi" w:cstheme="majorHAnsi"/>
        </w:rPr>
        <w:t xml:space="preserve">IT </w:t>
      </w:r>
      <w:r w:rsidR="000948C8">
        <w:rPr>
          <w:rFonts w:asciiTheme="majorHAnsi" w:hAnsiTheme="majorHAnsi" w:cstheme="majorHAnsi"/>
        </w:rPr>
        <w:t>(</w:t>
      </w:r>
      <w:r>
        <w:rPr>
          <w:rFonts w:asciiTheme="majorHAnsi" w:hAnsiTheme="majorHAnsi" w:cstheme="majorHAnsi"/>
        </w:rPr>
        <w:t xml:space="preserve">including </w:t>
      </w:r>
      <w:r w:rsidRPr="009258FE">
        <w:rPr>
          <w:rFonts w:asciiTheme="majorHAnsi" w:hAnsiTheme="majorHAnsi" w:cstheme="majorHAnsi"/>
        </w:rPr>
        <w:t>information governance</w:t>
      </w:r>
      <w:r w:rsidR="000948C8">
        <w:rPr>
          <w:rFonts w:asciiTheme="majorHAnsi" w:hAnsiTheme="majorHAnsi" w:cstheme="majorHAnsi"/>
        </w:rPr>
        <w:t>)</w:t>
      </w:r>
    </w:p>
    <w:p w14:paraId="0FD83362" w14:textId="4F963810" w:rsidR="009258FE" w:rsidRDefault="0074248B" w:rsidP="00E61DD1">
      <w:pPr>
        <w:pStyle w:val="ListParagraph"/>
        <w:numPr>
          <w:ilvl w:val="1"/>
          <w:numId w:val="5"/>
        </w:numPr>
        <w:spacing w:line="360" w:lineRule="atLeast"/>
        <w:ind w:right="119"/>
        <w:jc w:val="both"/>
        <w:rPr>
          <w:rFonts w:asciiTheme="majorHAnsi" w:hAnsiTheme="majorHAnsi" w:cstheme="majorHAnsi"/>
        </w:rPr>
      </w:pPr>
      <w:r>
        <w:rPr>
          <w:rFonts w:asciiTheme="majorHAnsi" w:hAnsiTheme="majorHAnsi" w:cstheme="majorHAnsi"/>
        </w:rPr>
        <w:t>E</w:t>
      </w:r>
      <w:r w:rsidR="009258FE" w:rsidRPr="009258FE">
        <w:rPr>
          <w:rFonts w:asciiTheme="majorHAnsi" w:hAnsiTheme="majorHAnsi" w:cstheme="majorHAnsi"/>
        </w:rPr>
        <w:t>states and facilities issues</w:t>
      </w:r>
    </w:p>
    <w:p w14:paraId="4A09B1E8" w14:textId="77777777" w:rsidR="003A36D6" w:rsidRDefault="003A36D6" w:rsidP="00E61DD1">
      <w:pPr>
        <w:pStyle w:val="ListParagraph"/>
        <w:spacing w:line="360" w:lineRule="atLeast"/>
        <w:ind w:left="1800" w:right="119"/>
        <w:jc w:val="both"/>
        <w:rPr>
          <w:rFonts w:asciiTheme="majorHAnsi" w:hAnsiTheme="majorHAnsi" w:cstheme="majorHAnsi"/>
        </w:rPr>
      </w:pPr>
    </w:p>
    <w:p w14:paraId="33374FCE" w14:textId="1596872F" w:rsidR="00A80EDB" w:rsidRDefault="008350A2" w:rsidP="00E61DD1">
      <w:pPr>
        <w:pStyle w:val="Heading2"/>
        <w:spacing w:after="0" w:line="360" w:lineRule="atLeast"/>
        <w:ind w:right="119"/>
        <w:jc w:val="both"/>
        <w:rPr>
          <w:szCs w:val="22"/>
        </w:rPr>
      </w:pPr>
      <w:r>
        <w:rPr>
          <w:szCs w:val="22"/>
        </w:rPr>
        <w:t xml:space="preserve">Information from a patient safety response process can be shared with those leading other types of responses, but other processes should not influence the remit of a patient safety incident response. </w:t>
      </w:r>
    </w:p>
    <w:p w14:paraId="0E77C970" w14:textId="77777777" w:rsidR="00C423F2" w:rsidRPr="00A80EDB" w:rsidRDefault="00C423F2" w:rsidP="00C423F2">
      <w:pPr>
        <w:pStyle w:val="Heading2"/>
        <w:numPr>
          <w:ilvl w:val="0"/>
          <w:numId w:val="0"/>
        </w:numPr>
        <w:spacing w:after="0" w:line="360" w:lineRule="atLeast"/>
        <w:ind w:left="762" w:right="119"/>
        <w:jc w:val="both"/>
        <w:rPr>
          <w:szCs w:val="22"/>
        </w:rPr>
      </w:pPr>
    </w:p>
    <w:p w14:paraId="7AAD9EBA" w14:textId="77777777" w:rsidR="0057036E" w:rsidRPr="00C423F2" w:rsidRDefault="003A36D6" w:rsidP="00E61DD1">
      <w:pPr>
        <w:pStyle w:val="Heading2"/>
        <w:spacing w:after="0" w:line="360" w:lineRule="atLeast"/>
        <w:ind w:right="119"/>
        <w:jc w:val="both"/>
        <w:rPr>
          <w:rFonts w:ascii="TheSans Spire Light" w:hAnsi="TheSans Spire Light"/>
          <w:szCs w:val="22"/>
        </w:rPr>
      </w:pPr>
      <w:r w:rsidRPr="004E22AC">
        <w:t xml:space="preserve">PSIRF does not look for who is to blame or at fault, it </w:t>
      </w:r>
      <w:r w:rsidR="0057036E" w:rsidRPr="008433B7">
        <w:t xml:space="preserve">forms part of our commitment to developing a just and learning culture, building openness and transparency, ensuring everyone is treated fairly and that we learn from any errors. </w:t>
      </w:r>
    </w:p>
    <w:p w14:paraId="1912E961" w14:textId="77777777" w:rsidR="00C423F2" w:rsidRPr="004E22AC" w:rsidRDefault="00C423F2" w:rsidP="00C423F2">
      <w:pPr>
        <w:pStyle w:val="Heading2"/>
        <w:numPr>
          <w:ilvl w:val="0"/>
          <w:numId w:val="0"/>
        </w:numPr>
        <w:spacing w:after="0" w:line="360" w:lineRule="atLeast"/>
        <w:ind w:left="762" w:right="119"/>
        <w:jc w:val="both"/>
        <w:rPr>
          <w:rFonts w:ascii="TheSans Spire Light" w:hAnsi="TheSans Spire Light"/>
          <w:szCs w:val="22"/>
        </w:rPr>
      </w:pPr>
    </w:p>
    <w:p w14:paraId="71A5B90F" w14:textId="77777777" w:rsidR="00C423F2" w:rsidRPr="00C423F2" w:rsidRDefault="0057036E" w:rsidP="00E61DD1">
      <w:pPr>
        <w:pStyle w:val="Heading2"/>
        <w:spacing w:after="0" w:line="360" w:lineRule="atLeast"/>
        <w:ind w:right="119"/>
        <w:jc w:val="both"/>
        <w:rPr>
          <w:szCs w:val="22"/>
        </w:rPr>
      </w:pPr>
      <w:r>
        <w:t xml:space="preserve">PSIRF Policy </w:t>
      </w:r>
      <w:r w:rsidRPr="0057036E">
        <w:t xml:space="preserve">will see </w:t>
      </w:r>
      <w:r>
        <w:t xml:space="preserve">Spire Healthcare </w:t>
      </w:r>
      <w:r w:rsidRPr="0057036E">
        <w:t>move away from the Serious Incident Framework (SIF) to a new approach to incident management, one which enables examination of a wider range of patient safety incidents “in the spirit of reflection and learning” rather than as part of a “framework of accountability”.</w:t>
      </w:r>
    </w:p>
    <w:p w14:paraId="6A4221E5" w14:textId="0A86D4FE" w:rsidR="00B43ABE" w:rsidRPr="00B43ABE" w:rsidRDefault="0057036E" w:rsidP="00C423F2">
      <w:pPr>
        <w:pStyle w:val="Heading2"/>
        <w:numPr>
          <w:ilvl w:val="0"/>
          <w:numId w:val="0"/>
        </w:numPr>
        <w:spacing w:after="0" w:line="360" w:lineRule="atLeast"/>
        <w:ind w:right="119"/>
        <w:jc w:val="both"/>
        <w:rPr>
          <w:szCs w:val="22"/>
        </w:rPr>
      </w:pPr>
      <w:r w:rsidRPr="0057036E" w:rsidDel="0057036E">
        <w:t xml:space="preserve"> </w:t>
      </w:r>
    </w:p>
    <w:p w14:paraId="075F8ECB" w14:textId="08D2BA34" w:rsidR="001F69C8" w:rsidRPr="00A80EDB" w:rsidRDefault="00B43ABE" w:rsidP="00E61DD1">
      <w:pPr>
        <w:pStyle w:val="Heading2"/>
        <w:spacing w:after="0" w:line="360" w:lineRule="atLeast"/>
        <w:ind w:right="119"/>
        <w:jc w:val="both"/>
        <w:rPr>
          <w:szCs w:val="22"/>
        </w:rPr>
      </w:pPr>
      <w:r>
        <w:t xml:space="preserve">The </w:t>
      </w:r>
      <w:r w:rsidR="001F69C8">
        <w:t>PSIRF policy gives us the opportunity to promote a system-</w:t>
      </w:r>
      <w:r w:rsidR="001F69C8">
        <w:rPr>
          <w:szCs w:val="22"/>
        </w:rPr>
        <w:t>based approach</w:t>
      </w:r>
      <w:r w:rsidR="00DC4A42">
        <w:rPr>
          <w:szCs w:val="22"/>
        </w:rPr>
        <w:t xml:space="preserve"> (principally systems engineering initiative for patient safety, SIEPS)</w:t>
      </w:r>
      <w:r w:rsidR="001F69C8">
        <w:rPr>
          <w:szCs w:val="22"/>
        </w:rPr>
        <w:t xml:space="preserve"> to learn from incidents and events.</w:t>
      </w:r>
      <w:r>
        <w:rPr>
          <w:szCs w:val="22"/>
        </w:rPr>
        <w:t xml:space="preserve"> By using a systems approach will help to remove a focus on individuals and human error when investigating incidents. </w:t>
      </w:r>
      <w:r w:rsidR="001F69C8">
        <w:rPr>
          <w:szCs w:val="22"/>
        </w:rPr>
        <w:t xml:space="preserve"> </w:t>
      </w:r>
    </w:p>
    <w:p w14:paraId="1828480A" w14:textId="77777777" w:rsidR="000E4047" w:rsidRPr="00925E58" w:rsidRDefault="000E4047" w:rsidP="00E61DD1">
      <w:pPr>
        <w:pStyle w:val="Heading2"/>
        <w:numPr>
          <w:ilvl w:val="0"/>
          <w:numId w:val="0"/>
        </w:numPr>
        <w:spacing w:after="0" w:line="360" w:lineRule="atLeast"/>
        <w:ind w:left="195" w:right="119"/>
        <w:rPr>
          <w:szCs w:val="22"/>
          <w:highlight w:val="green"/>
        </w:rPr>
      </w:pPr>
    </w:p>
    <w:p w14:paraId="1E1C7B5C" w14:textId="72F00E0E" w:rsidR="0055645D" w:rsidRPr="004B3C05" w:rsidRDefault="004B3C05" w:rsidP="00E61DD1">
      <w:pPr>
        <w:pStyle w:val="Heading1"/>
        <w:rPr>
          <w:caps w:val="0"/>
          <w:color w:val="008385"/>
        </w:rPr>
      </w:pPr>
      <w:bookmarkStart w:id="9" w:name="_Toc106014096"/>
      <w:bookmarkStart w:id="10" w:name="_Toc159429850"/>
      <w:bookmarkEnd w:id="4"/>
      <w:bookmarkEnd w:id="5"/>
      <w:bookmarkEnd w:id="6"/>
      <w:bookmarkEnd w:id="7"/>
      <w:bookmarkEnd w:id="8"/>
      <w:r w:rsidRPr="004B3C05">
        <w:rPr>
          <w:caps w:val="0"/>
          <w:color w:val="008385"/>
        </w:rPr>
        <w:t>OUR PATIENT SAFETY CULTURE</w:t>
      </w:r>
      <w:bookmarkEnd w:id="9"/>
      <w:bookmarkEnd w:id="10"/>
    </w:p>
    <w:p w14:paraId="7B8BCB6D" w14:textId="77777777" w:rsidR="004A4787" w:rsidRPr="00BF0914" w:rsidRDefault="004A4787" w:rsidP="00E61DD1">
      <w:pPr>
        <w:pStyle w:val="Heading1"/>
        <w:numPr>
          <w:ilvl w:val="0"/>
          <w:numId w:val="0"/>
        </w:numPr>
        <w:ind w:left="762"/>
      </w:pPr>
    </w:p>
    <w:p w14:paraId="7CB77E03" w14:textId="45146BF0" w:rsidR="0074721C" w:rsidRDefault="0074721C" w:rsidP="00E61DD1">
      <w:pPr>
        <w:pStyle w:val="Heading2"/>
        <w:spacing w:after="0"/>
        <w:jc w:val="both"/>
        <w:rPr>
          <w:szCs w:val="22"/>
        </w:rPr>
      </w:pPr>
      <w:r w:rsidRPr="0074721C">
        <w:rPr>
          <w:szCs w:val="22"/>
        </w:rPr>
        <w:t xml:space="preserve">At Spire Healthcare, </w:t>
      </w:r>
      <w:r w:rsidR="00870E9B">
        <w:rPr>
          <w:szCs w:val="22"/>
        </w:rPr>
        <w:t xml:space="preserve">our purpose is to </w:t>
      </w:r>
      <w:r w:rsidR="00655C8D">
        <w:rPr>
          <w:szCs w:val="22"/>
        </w:rPr>
        <w:t xml:space="preserve">“make a positive difference </w:t>
      </w:r>
      <w:r w:rsidR="00BB3303">
        <w:rPr>
          <w:szCs w:val="22"/>
        </w:rPr>
        <w:t xml:space="preserve">to people’s lives through </w:t>
      </w:r>
      <w:r w:rsidR="00DB5354">
        <w:rPr>
          <w:szCs w:val="22"/>
        </w:rPr>
        <w:t>outstanding personalised care</w:t>
      </w:r>
      <w:r w:rsidR="00BB3303">
        <w:rPr>
          <w:szCs w:val="22"/>
        </w:rPr>
        <w:t xml:space="preserve">”.  A culture of safety </w:t>
      </w:r>
      <w:r w:rsidR="00DB65C5">
        <w:rPr>
          <w:szCs w:val="22"/>
        </w:rPr>
        <w:t>is fostered throughout the organisation, with a one of our</w:t>
      </w:r>
      <w:r w:rsidR="00D56C72">
        <w:rPr>
          <w:szCs w:val="22"/>
        </w:rPr>
        <w:t xml:space="preserve"> key strategic pillar</w:t>
      </w:r>
      <w:r w:rsidR="00DB65C5">
        <w:rPr>
          <w:szCs w:val="22"/>
        </w:rPr>
        <w:t>s</w:t>
      </w:r>
      <w:r w:rsidR="00D56C72">
        <w:rPr>
          <w:szCs w:val="22"/>
        </w:rPr>
        <w:t xml:space="preserve"> being </w:t>
      </w:r>
      <w:r w:rsidR="00CF0D89">
        <w:rPr>
          <w:szCs w:val="22"/>
        </w:rPr>
        <w:t xml:space="preserve">to build on quality.  We reflect our </w:t>
      </w:r>
      <w:r w:rsidR="002E1FCA">
        <w:rPr>
          <w:szCs w:val="22"/>
        </w:rPr>
        <w:t>commitment</w:t>
      </w:r>
      <w:r w:rsidR="00CF0D89">
        <w:rPr>
          <w:szCs w:val="22"/>
        </w:rPr>
        <w:t xml:space="preserve"> in our values: </w:t>
      </w:r>
      <w:r w:rsidR="00D56C72">
        <w:rPr>
          <w:szCs w:val="22"/>
        </w:rPr>
        <w:t>driving clinical excellence</w:t>
      </w:r>
      <w:r w:rsidRPr="0074721C">
        <w:rPr>
          <w:szCs w:val="22"/>
        </w:rPr>
        <w:t xml:space="preserve">, We recognize that a strong patient safety culture is essential to providing high-quality care and preventing adverse events. </w:t>
      </w:r>
    </w:p>
    <w:p w14:paraId="5D9AB263" w14:textId="77777777" w:rsidR="00C423F2" w:rsidRPr="0074721C" w:rsidRDefault="00C423F2" w:rsidP="00C423F2">
      <w:pPr>
        <w:pStyle w:val="Heading2"/>
        <w:numPr>
          <w:ilvl w:val="0"/>
          <w:numId w:val="0"/>
        </w:numPr>
        <w:spacing w:after="0"/>
        <w:ind w:left="762"/>
        <w:jc w:val="both"/>
        <w:rPr>
          <w:szCs w:val="22"/>
        </w:rPr>
      </w:pPr>
    </w:p>
    <w:p w14:paraId="266A27E9" w14:textId="5D3448B0" w:rsidR="0074721C" w:rsidRPr="0074721C" w:rsidRDefault="00CF0D89" w:rsidP="00E61DD1">
      <w:pPr>
        <w:pStyle w:val="Heading2"/>
        <w:spacing w:after="0"/>
        <w:jc w:val="both"/>
        <w:rPr>
          <w:szCs w:val="22"/>
        </w:rPr>
      </w:pPr>
      <w:r>
        <w:rPr>
          <w:szCs w:val="22"/>
        </w:rPr>
        <w:t>I</w:t>
      </w:r>
      <w:r w:rsidRPr="0074721C">
        <w:rPr>
          <w:szCs w:val="22"/>
        </w:rPr>
        <w:t>n Spire Healthcare</w:t>
      </w:r>
      <w:r>
        <w:rPr>
          <w:szCs w:val="22"/>
        </w:rPr>
        <w:t>,</w:t>
      </w:r>
      <w:r w:rsidRPr="0074721C">
        <w:rPr>
          <w:szCs w:val="22"/>
        </w:rPr>
        <w:t xml:space="preserve"> </w:t>
      </w:r>
      <w:r w:rsidR="0074721C" w:rsidRPr="0074721C">
        <w:rPr>
          <w:szCs w:val="22"/>
        </w:rPr>
        <w:t xml:space="preserve">PSIRF will enable us to </w:t>
      </w:r>
      <w:r w:rsidR="00E05AC5">
        <w:rPr>
          <w:szCs w:val="22"/>
        </w:rPr>
        <w:t xml:space="preserve">establish and </w:t>
      </w:r>
      <w:r w:rsidR="0074721C" w:rsidRPr="0074721C">
        <w:rPr>
          <w:szCs w:val="22"/>
        </w:rPr>
        <w:t xml:space="preserve">further embed the management of patient safety incidents within our learning and improvement agenda. </w:t>
      </w:r>
      <w:r w:rsidR="00A66C9F">
        <w:rPr>
          <w:szCs w:val="22"/>
        </w:rPr>
        <w:t>Within</w:t>
      </w:r>
      <w:r w:rsidR="00A66C9F" w:rsidRPr="0074721C">
        <w:rPr>
          <w:szCs w:val="22"/>
        </w:rPr>
        <w:t xml:space="preserve"> </w:t>
      </w:r>
      <w:r w:rsidR="0074721C" w:rsidRPr="0074721C">
        <w:rPr>
          <w:szCs w:val="22"/>
        </w:rPr>
        <w:t xml:space="preserve">PSIRF it is important that those impacted </w:t>
      </w:r>
      <w:r w:rsidR="00683142">
        <w:rPr>
          <w:szCs w:val="22"/>
        </w:rPr>
        <w:t>(colleagues</w:t>
      </w:r>
      <w:r w:rsidR="00D47EC0">
        <w:rPr>
          <w:szCs w:val="22"/>
        </w:rPr>
        <w:t xml:space="preserve">, Consultant partners, </w:t>
      </w:r>
      <w:r w:rsidR="00683142">
        <w:rPr>
          <w:szCs w:val="22"/>
        </w:rPr>
        <w:t xml:space="preserve">patients/family) </w:t>
      </w:r>
      <w:r w:rsidR="0074721C" w:rsidRPr="0074721C">
        <w:rPr>
          <w:szCs w:val="22"/>
        </w:rPr>
        <w:t>by a patient safety incident are involved as soon as possible to ensure that as much learning is taken from the incident as possible. This</w:t>
      </w:r>
      <w:r w:rsidR="00E05AC5">
        <w:rPr>
          <w:szCs w:val="22"/>
        </w:rPr>
        <w:t xml:space="preserve"> timely</w:t>
      </w:r>
      <w:r w:rsidR="0074721C" w:rsidRPr="0074721C">
        <w:rPr>
          <w:szCs w:val="22"/>
        </w:rPr>
        <w:t xml:space="preserve"> collaboration in working </w:t>
      </w:r>
      <w:r w:rsidR="00E05AC5">
        <w:rPr>
          <w:szCs w:val="22"/>
        </w:rPr>
        <w:t>with all</w:t>
      </w:r>
      <w:r w:rsidR="00D47EC0">
        <w:rPr>
          <w:szCs w:val="22"/>
        </w:rPr>
        <w:t xml:space="preserve"> those </w:t>
      </w:r>
      <w:r w:rsidR="00E05AC5">
        <w:rPr>
          <w:szCs w:val="22"/>
        </w:rPr>
        <w:t xml:space="preserve">involved </w:t>
      </w:r>
      <w:r w:rsidR="0074721C" w:rsidRPr="0074721C">
        <w:rPr>
          <w:szCs w:val="22"/>
        </w:rPr>
        <w:t>will ensure that the organisation continues to grow its patient safety culture.</w:t>
      </w:r>
    </w:p>
    <w:p w14:paraId="5189E1FF" w14:textId="630FDE6B" w:rsidR="0074721C" w:rsidRDefault="0074721C" w:rsidP="00E61DD1">
      <w:pPr>
        <w:pStyle w:val="Heading2"/>
        <w:spacing w:after="0"/>
        <w:jc w:val="both"/>
        <w:rPr>
          <w:szCs w:val="22"/>
        </w:rPr>
      </w:pPr>
      <w:r w:rsidRPr="0074721C">
        <w:rPr>
          <w:szCs w:val="22"/>
        </w:rPr>
        <w:t xml:space="preserve">The focus of patient safety </w:t>
      </w:r>
      <w:r w:rsidR="0090210B">
        <w:rPr>
          <w:szCs w:val="22"/>
        </w:rPr>
        <w:t>incident response</w:t>
      </w:r>
      <w:r w:rsidRPr="0074721C">
        <w:rPr>
          <w:szCs w:val="22"/>
        </w:rPr>
        <w:t>s will be for the purpose of learning and improving our safety for the benefit of patient’s</w:t>
      </w:r>
      <w:r w:rsidR="008512AF">
        <w:rPr>
          <w:szCs w:val="22"/>
        </w:rPr>
        <w:t xml:space="preserve">, </w:t>
      </w:r>
      <w:r w:rsidR="002E1FCA">
        <w:rPr>
          <w:szCs w:val="22"/>
        </w:rPr>
        <w:t>colleagues</w:t>
      </w:r>
      <w:r w:rsidR="008512AF">
        <w:rPr>
          <w:szCs w:val="22"/>
        </w:rPr>
        <w:t xml:space="preserve"> and consultant partners</w:t>
      </w:r>
      <w:r w:rsidRPr="0074721C">
        <w:rPr>
          <w:szCs w:val="22"/>
        </w:rPr>
        <w:t xml:space="preserve">. </w:t>
      </w:r>
    </w:p>
    <w:p w14:paraId="149AC86A" w14:textId="77777777" w:rsidR="00C423F2" w:rsidRPr="0074721C" w:rsidRDefault="00C423F2" w:rsidP="00C423F2">
      <w:pPr>
        <w:pStyle w:val="Heading2"/>
        <w:numPr>
          <w:ilvl w:val="0"/>
          <w:numId w:val="0"/>
        </w:numPr>
        <w:spacing w:after="0"/>
        <w:ind w:left="762"/>
        <w:jc w:val="both"/>
        <w:rPr>
          <w:szCs w:val="22"/>
        </w:rPr>
      </w:pPr>
    </w:p>
    <w:p w14:paraId="31AFD100" w14:textId="77777777" w:rsidR="0074721C" w:rsidRDefault="0074721C" w:rsidP="00E61DD1">
      <w:pPr>
        <w:pStyle w:val="Heading2"/>
        <w:spacing w:after="0"/>
        <w:jc w:val="both"/>
        <w:rPr>
          <w:szCs w:val="22"/>
        </w:rPr>
      </w:pPr>
      <w:r w:rsidRPr="0074721C">
        <w:rPr>
          <w:szCs w:val="22"/>
        </w:rPr>
        <w:t>Spire Healthcare’s safety culture can be defined under the following categories:</w:t>
      </w:r>
    </w:p>
    <w:p w14:paraId="2015BD27" w14:textId="77777777" w:rsidR="00C72EAE" w:rsidRPr="0074721C" w:rsidRDefault="00C72EAE" w:rsidP="00C72EAE">
      <w:pPr>
        <w:pStyle w:val="Heading2"/>
        <w:numPr>
          <w:ilvl w:val="0"/>
          <w:numId w:val="0"/>
        </w:numPr>
        <w:spacing w:after="0"/>
        <w:jc w:val="both"/>
        <w:rPr>
          <w:szCs w:val="22"/>
        </w:rPr>
      </w:pPr>
    </w:p>
    <w:p w14:paraId="5EA2E2C3" w14:textId="2464D9D2" w:rsidR="0074721C" w:rsidRDefault="0074721C" w:rsidP="00E61DD1">
      <w:pPr>
        <w:pStyle w:val="Heading2"/>
        <w:numPr>
          <w:ilvl w:val="0"/>
          <w:numId w:val="10"/>
        </w:numPr>
        <w:spacing w:after="0"/>
        <w:jc w:val="both"/>
        <w:rPr>
          <w:szCs w:val="22"/>
        </w:rPr>
      </w:pPr>
      <w:r w:rsidRPr="0074721C">
        <w:rPr>
          <w:b/>
          <w:bCs/>
          <w:szCs w:val="22"/>
        </w:rPr>
        <w:t>Leadership Commitment</w:t>
      </w:r>
      <w:r>
        <w:rPr>
          <w:b/>
          <w:bCs/>
          <w:szCs w:val="22"/>
        </w:rPr>
        <w:t xml:space="preserve"> </w:t>
      </w:r>
    </w:p>
    <w:p w14:paraId="7AD244A4" w14:textId="77777777" w:rsidR="0074721C" w:rsidRDefault="0074721C" w:rsidP="00E61DD1">
      <w:pPr>
        <w:pStyle w:val="Heading2"/>
        <w:numPr>
          <w:ilvl w:val="0"/>
          <w:numId w:val="0"/>
        </w:numPr>
        <w:spacing w:after="0"/>
        <w:ind w:left="762"/>
        <w:jc w:val="both"/>
        <w:rPr>
          <w:szCs w:val="22"/>
        </w:rPr>
      </w:pPr>
      <w:r w:rsidRPr="0074721C">
        <w:rPr>
          <w:szCs w:val="22"/>
        </w:rPr>
        <w:t xml:space="preserve">Our leadership team is dedicated to patient safety. </w:t>
      </w:r>
    </w:p>
    <w:p w14:paraId="745E84D9" w14:textId="77777777" w:rsidR="0074721C" w:rsidRDefault="0074721C" w:rsidP="00E61DD1">
      <w:pPr>
        <w:pStyle w:val="Heading2"/>
        <w:numPr>
          <w:ilvl w:val="0"/>
          <w:numId w:val="0"/>
        </w:numPr>
        <w:spacing w:after="0"/>
        <w:ind w:left="762"/>
        <w:jc w:val="both"/>
        <w:rPr>
          <w:szCs w:val="22"/>
        </w:rPr>
      </w:pPr>
      <w:r w:rsidRPr="0074721C">
        <w:rPr>
          <w:szCs w:val="22"/>
        </w:rPr>
        <w:t xml:space="preserve">They lead by example, emphasizing the importance of safety in all aspects of our operations. </w:t>
      </w:r>
    </w:p>
    <w:p w14:paraId="54680906" w14:textId="77777777" w:rsidR="0074721C" w:rsidRDefault="0074721C" w:rsidP="00E61DD1">
      <w:pPr>
        <w:pStyle w:val="Heading2"/>
        <w:numPr>
          <w:ilvl w:val="0"/>
          <w:numId w:val="0"/>
        </w:numPr>
        <w:spacing w:after="0"/>
        <w:ind w:left="762"/>
        <w:jc w:val="both"/>
        <w:rPr>
          <w:szCs w:val="22"/>
        </w:rPr>
      </w:pPr>
      <w:r w:rsidRPr="0074721C">
        <w:rPr>
          <w:szCs w:val="22"/>
        </w:rPr>
        <w:t xml:space="preserve">They provide the necessary resources and support to ensure that patient safety initiatives are successful.  </w:t>
      </w:r>
    </w:p>
    <w:p w14:paraId="0D3927B8" w14:textId="77777777" w:rsidR="00C72EAE" w:rsidRDefault="00C72EAE" w:rsidP="00E61DD1">
      <w:pPr>
        <w:pStyle w:val="Heading2"/>
        <w:numPr>
          <w:ilvl w:val="0"/>
          <w:numId w:val="0"/>
        </w:numPr>
        <w:spacing w:after="0"/>
        <w:ind w:left="762"/>
        <w:jc w:val="both"/>
        <w:rPr>
          <w:szCs w:val="22"/>
        </w:rPr>
      </w:pPr>
    </w:p>
    <w:p w14:paraId="47EE3F50" w14:textId="77777777" w:rsidR="0074721C" w:rsidRDefault="0074721C" w:rsidP="00E61DD1">
      <w:pPr>
        <w:pStyle w:val="Heading2"/>
        <w:numPr>
          <w:ilvl w:val="0"/>
          <w:numId w:val="10"/>
        </w:numPr>
        <w:spacing w:after="0"/>
        <w:jc w:val="both"/>
        <w:rPr>
          <w:szCs w:val="22"/>
        </w:rPr>
      </w:pPr>
      <w:r w:rsidRPr="0074721C">
        <w:rPr>
          <w:b/>
          <w:bCs/>
          <w:szCs w:val="22"/>
        </w:rPr>
        <w:t>Open Communication</w:t>
      </w:r>
      <w:r w:rsidRPr="0074721C">
        <w:rPr>
          <w:szCs w:val="22"/>
        </w:rPr>
        <w:t xml:space="preserve">  </w:t>
      </w:r>
    </w:p>
    <w:p w14:paraId="7734162B" w14:textId="7E08EA51" w:rsidR="008102BE" w:rsidRDefault="0074721C" w:rsidP="00E61DD1">
      <w:pPr>
        <w:pStyle w:val="Heading2"/>
        <w:numPr>
          <w:ilvl w:val="0"/>
          <w:numId w:val="0"/>
        </w:numPr>
        <w:spacing w:after="0"/>
        <w:ind w:left="762"/>
        <w:jc w:val="both"/>
        <w:rPr>
          <w:szCs w:val="22"/>
        </w:rPr>
      </w:pPr>
      <w:r w:rsidRPr="0074721C">
        <w:rPr>
          <w:szCs w:val="22"/>
        </w:rPr>
        <w:t>We encourage open and transparent communication at all levels of the organi</w:t>
      </w:r>
      <w:r w:rsidR="00B95D24">
        <w:rPr>
          <w:szCs w:val="22"/>
        </w:rPr>
        <w:t>s</w:t>
      </w:r>
      <w:r w:rsidRPr="0074721C">
        <w:rPr>
          <w:szCs w:val="22"/>
        </w:rPr>
        <w:t>ation</w:t>
      </w:r>
      <w:r w:rsidR="00A036D7">
        <w:rPr>
          <w:szCs w:val="22"/>
        </w:rPr>
        <w:t xml:space="preserve"> with </w:t>
      </w:r>
      <w:r w:rsidR="008102BE">
        <w:rPr>
          <w:szCs w:val="22"/>
        </w:rPr>
        <w:t>initiatives including</w:t>
      </w:r>
      <w:r w:rsidR="00B95D24">
        <w:rPr>
          <w:szCs w:val="22"/>
        </w:rPr>
        <w:t>:</w:t>
      </w:r>
    </w:p>
    <w:p w14:paraId="5AA01D75" w14:textId="6DA3315D" w:rsidR="008102BE" w:rsidRDefault="008102BE" w:rsidP="00E61DD1">
      <w:pPr>
        <w:pStyle w:val="Heading2"/>
        <w:numPr>
          <w:ilvl w:val="0"/>
          <w:numId w:val="10"/>
        </w:numPr>
        <w:spacing w:after="0"/>
        <w:jc w:val="both"/>
        <w:rPr>
          <w:szCs w:val="22"/>
        </w:rPr>
      </w:pPr>
      <w:r>
        <w:rPr>
          <w:szCs w:val="22"/>
        </w:rPr>
        <w:t xml:space="preserve">Freedom to speak up guardians and </w:t>
      </w:r>
      <w:r w:rsidR="002E1FCA">
        <w:rPr>
          <w:szCs w:val="22"/>
        </w:rPr>
        <w:t>ambassadors</w:t>
      </w:r>
      <w:r w:rsidR="00080301">
        <w:rPr>
          <w:szCs w:val="22"/>
        </w:rPr>
        <w:t>.</w:t>
      </w:r>
    </w:p>
    <w:p w14:paraId="5C5AD1FB" w14:textId="28A9A037" w:rsidR="0074721C" w:rsidRDefault="008102BE" w:rsidP="00E61DD1">
      <w:pPr>
        <w:pStyle w:val="Heading2"/>
        <w:numPr>
          <w:ilvl w:val="0"/>
          <w:numId w:val="10"/>
        </w:numPr>
        <w:spacing w:after="0"/>
        <w:jc w:val="both"/>
        <w:rPr>
          <w:szCs w:val="22"/>
        </w:rPr>
      </w:pPr>
      <w:r>
        <w:rPr>
          <w:szCs w:val="22"/>
        </w:rPr>
        <w:t xml:space="preserve">Surgical </w:t>
      </w:r>
      <w:r w:rsidR="00071118">
        <w:rPr>
          <w:szCs w:val="22"/>
        </w:rPr>
        <w:t>safety guardians</w:t>
      </w:r>
      <w:r w:rsidR="00080301">
        <w:rPr>
          <w:szCs w:val="22"/>
        </w:rPr>
        <w:t>.</w:t>
      </w:r>
      <w:r w:rsidR="0074721C" w:rsidRPr="0074721C">
        <w:rPr>
          <w:szCs w:val="22"/>
        </w:rPr>
        <w:t xml:space="preserve"> </w:t>
      </w:r>
    </w:p>
    <w:p w14:paraId="676881DB" w14:textId="4DD62A98" w:rsidR="0074721C" w:rsidRDefault="00E05AC5" w:rsidP="00E61DD1">
      <w:pPr>
        <w:pStyle w:val="Heading2"/>
        <w:numPr>
          <w:ilvl w:val="0"/>
          <w:numId w:val="0"/>
        </w:numPr>
        <w:spacing w:after="0"/>
        <w:ind w:left="762"/>
        <w:jc w:val="both"/>
        <w:rPr>
          <w:szCs w:val="22"/>
        </w:rPr>
      </w:pPr>
      <w:r>
        <w:rPr>
          <w:szCs w:val="22"/>
        </w:rPr>
        <w:t>Colleagues and consultant partners</w:t>
      </w:r>
      <w:r w:rsidR="0074721C" w:rsidRPr="0074721C">
        <w:rPr>
          <w:szCs w:val="22"/>
        </w:rPr>
        <w:t xml:space="preserve"> are encouraged to speak up about safety concerns, near-miss incidents, or adverse events</w:t>
      </w:r>
      <w:r w:rsidR="002E1FCA">
        <w:rPr>
          <w:szCs w:val="22"/>
        </w:rPr>
        <w:t>.</w:t>
      </w:r>
      <w:r w:rsidR="0074721C" w:rsidRPr="0074721C">
        <w:rPr>
          <w:szCs w:val="22"/>
        </w:rPr>
        <w:t xml:space="preserve"> </w:t>
      </w:r>
      <w:r w:rsidR="002E1FCA">
        <w:rPr>
          <w:szCs w:val="22"/>
        </w:rPr>
        <w:t xml:space="preserve"> </w:t>
      </w:r>
      <w:r w:rsidR="0074721C" w:rsidRPr="0074721C">
        <w:rPr>
          <w:szCs w:val="22"/>
        </w:rPr>
        <w:t xml:space="preserve">We believe that every voice matters in ensuring patient safety.  </w:t>
      </w:r>
    </w:p>
    <w:p w14:paraId="21D450ED" w14:textId="77777777" w:rsidR="00C72EAE" w:rsidRDefault="00C72EAE" w:rsidP="00E61DD1">
      <w:pPr>
        <w:pStyle w:val="Heading2"/>
        <w:numPr>
          <w:ilvl w:val="0"/>
          <w:numId w:val="0"/>
        </w:numPr>
        <w:spacing w:after="0"/>
        <w:ind w:left="762"/>
        <w:jc w:val="both"/>
        <w:rPr>
          <w:szCs w:val="22"/>
        </w:rPr>
      </w:pPr>
    </w:p>
    <w:p w14:paraId="767317C6" w14:textId="77777777" w:rsidR="0074721C" w:rsidRDefault="0074721C" w:rsidP="00E61DD1">
      <w:pPr>
        <w:pStyle w:val="Heading2"/>
        <w:numPr>
          <w:ilvl w:val="0"/>
          <w:numId w:val="10"/>
        </w:numPr>
        <w:spacing w:after="0"/>
        <w:rPr>
          <w:szCs w:val="22"/>
        </w:rPr>
      </w:pPr>
      <w:r w:rsidRPr="0074721C">
        <w:rPr>
          <w:b/>
          <w:bCs/>
          <w:szCs w:val="22"/>
        </w:rPr>
        <w:t xml:space="preserve">Reporting and Learning </w:t>
      </w:r>
      <w:r w:rsidRPr="0074721C">
        <w:rPr>
          <w:szCs w:val="22"/>
        </w:rPr>
        <w:t xml:space="preserve"> </w:t>
      </w:r>
    </w:p>
    <w:p w14:paraId="70B771FE" w14:textId="1A2354AA" w:rsidR="0074721C" w:rsidRDefault="0074721C" w:rsidP="00E61DD1">
      <w:pPr>
        <w:pStyle w:val="Heading2"/>
        <w:numPr>
          <w:ilvl w:val="0"/>
          <w:numId w:val="0"/>
        </w:numPr>
        <w:spacing w:after="0"/>
        <w:ind w:left="762"/>
        <w:jc w:val="both"/>
        <w:rPr>
          <w:szCs w:val="22"/>
        </w:rPr>
      </w:pPr>
      <w:r w:rsidRPr="0074721C">
        <w:rPr>
          <w:szCs w:val="22"/>
        </w:rPr>
        <w:t>Our PSIRF policy plays a central role in our patient safety culture</w:t>
      </w:r>
      <w:r w:rsidR="00E05AC5">
        <w:rPr>
          <w:szCs w:val="22"/>
        </w:rPr>
        <w:t xml:space="preserve"> and developing a just culture across Spire Healthcare</w:t>
      </w:r>
      <w:r w:rsidR="00E05AC5" w:rsidRPr="0074721C">
        <w:rPr>
          <w:szCs w:val="22"/>
        </w:rPr>
        <w:t>.</w:t>
      </w:r>
      <w:r w:rsidRPr="0074721C">
        <w:rPr>
          <w:szCs w:val="22"/>
        </w:rPr>
        <w:t xml:space="preserve"> </w:t>
      </w:r>
    </w:p>
    <w:p w14:paraId="4C27DE2C" w14:textId="77777777" w:rsidR="0074721C" w:rsidRDefault="0074721C" w:rsidP="00E61DD1">
      <w:pPr>
        <w:pStyle w:val="Heading2"/>
        <w:numPr>
          <w:ilvl w:val="0"/>
          <w:numId w:val="0"/>
        </w:numPr>
        <w:spacing w:after="0"/>
        <w:ind w:left="762"/>
        <w:jc w:val="both"/>
        <w:rPr>
          <w:szCs w:val="22"/>
        </w:rPr>
      </w:pPr>
      <w:r w:rsidRPr="0074721C">
        <w:rPr>
          <w:szCs w:val="22"/>
        </w:rPr>
        <w:t xml:space="preserve">It provides a structured framework for reporting and documenting incidents, near-misses, and unsafe conditions. </w:t>
      </w:r>
    </w:p>
    <w:p w14:paraId="2F137863" w14:textId="77777777" w:rsidR="0074721C" w:rsidRDefault="0074721C" w:rsidP="00E61DD1">
      <w:pPr>
        <w:pStyle w:val="Heading2"/>
        <w:numPr>
          <w:ilvl w:val="0"/>
          <w:numId w:val="0"/>
        </w:numPr>
        <w:spacing w:after="0"/>
        <w:ind w:left="762"/>
        <w:jc w:val="both"/>
        <w:rPr>
          <w:szCs w:val="22"/>
        </w:rPr>
      </w:pPr>
      <w:r w:rsidRPr="0074721C">
        <w:rPr>
          <w:szCs w:val="22"/>
        </w:rPr>
        <w:t xml:space="preserve">We use these reports as opportunities for continuous learning and improvement.  </w:t>
      </w:r>
    </w:p>
    <w:p w14:paraId="2517871B" w14:textId="77777777" w:rsidR="00C72EAE" w:rsidRDefault="00C72EAE" w:rsidP="00E61DD1">
      <w:pPr>
        <w:pStyle w:val="Heading2"/>
        <w:numPr>
          <w:ilvl w:val="0"/>
          <w:numId w:val="0"/>
        </w:numPr>
        <w:spacing w:after="0"/>
        <w:ind w:left="762"/>
        <w:jc w:val="both"/>
        <w:rPr>
          <w:szCs w:val="22"/>
        </w:rPr>
      </w:pPr>
    </w:p>
    <w:p w14:paraId="0A10E861" w14:textId="77777777" w:rsidR="0074721C" w:rsidRDefault="0074721C" w:rsidP="00E61DD1">
      <w:pPr>
        <w:pStyle w:val="Heading2"/>
        <w:numPr>
          <w:ilvl w:val="0"/>
          <w:numId w:val="10"/>
        </w:numPr>
        <w:spacing w:after="0"/>
        <w:jc w:val="both"/>
        <w:rPr>
          <w:szCs w:val="22"/>
        </w:rPr>
      </w:pPr>
      <w:r w:rsidRPr="0074721C">
        <w:rPr>
          <w:b/>
          <w:bCs/>
          <w:szCs w:val="22"/>
        </w:rPr>
        <w:t xml:space="preserve">Training and Education  </w:t>
      </w:r>
    </w:p>
    <w:p w14:paraId="79F80CE6" w14:textId="3B64BBE9" w:rsidR="006604F7" w:rsidRDefault="006604F7" w:rsidP="00E61DD1">
      <w:pPr>
        <w:pStyle w:val="Heading2"/>
        <w:numPr>
          <w:ilvl w:val="0"/>
          <w:numId w:val="0"/>
        </w:numPr>
        <w:spacing w:after="0"/>
        <w:ind w:left="762"/>
        <w:jc w:val="both"/>
        <w:rPr>
          <w:szCs w:val="22"/>
        </w:rPr>
      </w:pPr>
      <w:r>
        <w:rPr>
          <w:szCs w:val="22"/>
        </w:rPr>
        <w:t>We provide ongoing training and education to our colleagues on patient safety principles, best practices, and the use of the PSIRF system as detailed within the PSIRF training needs analysis (TNA) and associated training materials.</w:t>
      </w:r>
    </w:p>
    <w:p w14:paraId="3C13D050" w14:textId="325C1E49" w:rsidR="006604F7" w:rsidRDefault="006604F7" w:rsidP="00E61DD1">
      <w:pPr>
        <w:pStyle w:val="Heading2"/>
        <w:numPr>
          <w:ilvl w:val="0"/>
          <w:numId w:val="0"/>
        </w:numPr>
        <w:spacing w:after="0"/>
        <w:ind w:left="762"/>
        <w:jc w:val="both"/>
        <w:rPr>
          <w:szCs w:val="22"/>
        </w:rPr>
      </w:pPr>
      <w:r>
        <w:rPr>
          <w:szCs w:val="22"/>
        </w:rPr>
        <w:t xml:space="preserve">The training programme will be designed to ensure that </w:t>
      </w:r>
      <w:r w:rsidR="002A02C7">
        <w:rPr>
          <w:szCs w:val="22"/>
        </w:rPr>
        <w:t>colleagues</w:t>
      </w:r>
      <w:r>
        <w:rPr>
          <w:szCs w:val="22"/>
        </w:rPr>
        <w:t xml:space="preserve"> are confident in PSIRF processes. Participation data will be monitored to evidence our compliance. </w:t>
      </w:r>
    </w:p>
    <w:p w14:paraId="749F15CA" w14:textId="503FCBF5" w:rsidR="0074721C" w:rsidRDefault="0074721C" w:rsidP="00E61DD1">
      <w:pPr>
        <w:pStyle w:val="Heading2"/>
        <w:numPr>
          <w:ilvl w:val="0"/>
          <w:numId w:val="0"/>
        </w:numPr>
        <w:spacing w:after="0"/>
        <w:ind w:left="762"/>
        <w:jc w:val="both"/>
        <w:rPr>
          <w:szCs w:val="22"/>
        </w:rPr>
      </w:pPr>
      <w:r w:rsidRPr="0074721C">
        <w:rPr>
          <w:szCs w:val="22"/>
        </w:rPr>
        <w:t>This</w:t>
      </w:r>
      <w:r w:rsidR="00D07711">
        <w:rPr>
          <w:szCs w:val="22"/>
        </w:rPr>
        <w:t xml:space="preserve"> will</w:t>
      </w:r>
      <w:r w:rsidRPr="0074721C">
        <w:rPr>
          <w:szCs w:val="22"/>
        </w:rPr>
        <w:t xml:space="preserve"> empower our employees to actively contribute to patient safety efforts.  </w:t>
      </w:r>
    </w:p>
    <w:p w14:paraId="28FDA6E5" w14:textId="77777777" w:rsidR="00C72EAE" w:rsidRDefault="00C72EAE" w:rsidP="00E61DD1">
      <w:pPr>
        <w:pStyle w:val="Heading2"/>
        <w:numPr>
          <w:ilvl w:val="0"/>
          <w:numId w:val="0"/>
        </w:numPr>
        <w:spacing w:after="0"/>
        <w:ind w:left="762"/>
        <w:jc w:val="both"/>
        <w:rPr>
          <w:szCs w:val="22"/>
        </w:rPr>
      </w:pPr>
    </w:p>
    <w:p w14:paraId="614B93E8" w14:textId="77777777" w:rsidR="0074721C" w:rsidRDefault="0074721C" w:rsidP="00E61DD1">
      <w:pPr>
        <w:pStyle w:val="Heading2"/>
        <w:numPr>
          <w:ilvl w:val="0"/>
          <w:numId w:val="10"/>
        </w:numPr>
        <w:spacing w:after="0"/>
        <w:jc w:val="both"/>
        <w:rPr>
          <w:szCs w:val="22"/>
        </w:rPr>
      </w:pPr>
      <w:r w:rsidRPr="0074721C">
        <w:rPr>
          <w:b/>
          <w:bCs/>
          <w:szCs w:val="22"/>
        </w:rPr>
        <w:t>Continuous Improvement</w:t>
      </w:r>
      <w:r w:rsidRPr="0074721C">
        <w:rPr>
          <w:szCs w:val="22"/>
        </w:rPr>
        <w:t xml:space="preserve">  </w:t>
      </w:r>
    </w:p>
    <w:p w14:paraId="40678A9A" w14:textId="77777777" w:rsidR="0074721C" w:rsidRDefault="0074721C" w:rsidP="00E61DD1">
      <w:pPr>
        <w:pStyle w:val="Heading2"/>
        <w:numPr>
          <w:ilvl w:val="0"/>
          <w:numId w:val="0"/>
        </w:numPr>
        <w:spacing w:after="0"/>
        <w:ind w:left="762"/>
        <w:jc w:val="both"/>
        <w:rPr>
          <w:szCs w:val="22"/>
        </w:rPr>
      </w:pPr>
      <w:r w:rsidRPr="0074721C">
        <w:rPr>
          <w:szCs w:val="22"/>
        </w:rPr>
        <w:t xml:space="preserve">Patient safety is a dynamic and evolving field. </w:t>
      </w:r>
    </w:p>
    <w:p w14:paraId="416E87E7" w14:textId="276BD4F7" w:rsidR="0074721C" w:rsidRDefault="0074721C" w:rsidP="00E61DD1">
      <w:pPr>
        <w:pStyle w:val="Heading2"/>
        <w:numPr>
          <w:ilvl w:val="0"/>
          <w:numId w:val="0"/>
        </w:numPr>
        <w:spacing w:after="0"/>
        <w:ind w:left="762"/>
        <w:jc w:val="both"/>
        <w:rPr>
          <w:szCs w:val="22"/>
        </w:rPr>
      </w:pPr>
      <w:r w:rsidRPr="0074721C">
        <w:rPr>
          <w:szCs w:val="22"/>
        </w:rPr>
        <w:t>We are committed to continuous improvement in our patient safety practices</w:t>
      </w:r>
      <w:r w:rsidR="00E05AC5">
        <w:rPr>
          <w:szCs w:val="22"/>
        </w:rPr>
        <w:t xml:space="preserve"> and ongoing training, reinforced with a strong</w:t>
      </w:r>
      <w:r w:rsidR="00153A48">
        <w:rPr>
          <w:szCs w:val="22"/>
        </w:rPr>
        <w:t xml:space="preserve"> </w:t>
      </w:r>
      <w:r w:rsidR="00153A48" w:rsidRPr="00403951">
        <w:rPr>
          <w:szCs w:val="22"/>
        </w:rPr>
        <w:t>QI Strategy and Framework</w:t>
      </w:r>
      <w:r w:rsidR="00153A48">
        <w:rPr>
          <w:szCs w:val="22"/>
        </w:rPr>
        <w:t xml:space="preserve"> </w:t>
      </w:r>
      <w:r w:rsidR="002A25C9">
        <w:rPr>
          <w:szCs w:val="22"/>
        </w:rPr>
        <w:t xml:space="preserve">which is supported by </w:t>
      </w:r>
      <w:r w:rsidR="002E1FCA">
        <w:rPr>
          <w:szCs w:val="22"/>
        </w:rPr>
        <w:t>a programme</w:t>
      </w:r>
      <w:r w:rsidR="00E05AC5">
        <w:rPr>
          <w:szCs w:val="22"/>
        </w:rPr>
        <w:t xml:space="preserve"> of </w:t>
      </w:r>
      <w:r w:rsidR="002A25C9">
        <w:rPr>
          <w:szCs w:val="22"/>
        </w:rPr>
        <w:t xml:space="preserve">education, training and </w:t>
      </w:r>
      <w:r w:rsidR="00E05AC5">
        <w:rPr>
          <w:szCs w:val="22"/>
        </w:rPr>
        <w:t>learning</w:t>
      </w:r>
      <w:r w:rsidR="00E05AC5" w:rsidRPr="0074721C">
        <w:rPr>
          <w:szCs w:val="22"/>
        </w:rPr>
        <w:t>.</w:t>
      </w:r>
      <w:r w:rsidRPr="0074721C">
        <w:rPr>
          <w:szCs w:val="22"/>
        </w:rPr>
        <w:t xml:space="preserve"> </w:t>
      </w:r>
    </w:p>
    <w:p w14:paraId="5657B7A0" w14:textId="77777777" w:rsidR="0074721C" w:rsidRDefault="0074721C" w:rsidP="00E61DD1">
      <w:pPr>
        <w:pStyle w:val="Heading2"/>
        <w:numPr>
          <w:ilvl w:val="0"/>
          <w:numId w:val="0"/>
        </w:numPr>
        <w:spacing w:after="0"/>
        <w:ind w:left="762"/>
        <w:jc w:val="both"/>
        <w:rPr>
          <w:szCs w:val="22"/>
        </w:rPr>
      </w:pPr>
      <w:r w:rsidRPr="0074721C">
        <w:rPr>
          <w:szCs w:val="22"/>
        </w:rPr>
        <w:t xml:space="preserve">Regular reviews of incident data, analysis of trends, and the implementation of evidence-based solutions are essential components of our approach.  </w:t>
      </w:r>
    </w:p>
    <w:p w14:paraId="42EFB723" w14:textId="77777777" w:rsidR="00C72EAE" w:rsidRDefault="00C72EAE" w:rsidP="00E61DD1">
      <w:pPr>
        <w:pStyle w:val="Heading2"/>
        <w:numPr>
          <w:ilvl w:val="0"/>
          <w:numId w:val="0"/>
        </w:numPr>
        <w:spacing w:after="0"/>
        <w:ind w:left="762"/>
        <w:jc w:val="both"/>
        <w:rPr>
          <w:szCs w:val="22"/>
        </w:rPr>
      </w:pPr>
    </w:p>
    <w:p w14:paraId="070BD251" w14:textId="77777777" w:rsidR="0074721C" w:rsidRPr="0074721C" w:rsidRDefault="0074721C" w:rsidP="00E61DD1">
      <w:pPr>
        <w:pStyle w:val="Heading2"/>
        <w:numPr>
          <w:ilvl w:val="0"/>
          <w:numId w:val="10"/>
        </w:numPr>
        <w:spacing w:after="0"/>
        <w:rPr>
          <w:b/>
          <w:bCs/>
          <w:szCs w:val="22"/>
        </w:rPr>
      </w:pPr>
      <w:r w:rsidRPr="0074721C">
        <w:rPr>
          <w:b/>
          <w:bCs/>
          <w:szCs w:val="22"/>
        </w:rPr>
        <w:t xml:space="preserve">Patient Involvement  </w:t>
      </w:r>
    </w:p>
    <w:p w14:paraId="1E137D6B" w14:textId="4E2A2881" w:rsidR="0074721C" w:rsidRDefault="0074721C" w:rsidP="00E61DD1">
      <w:pPr>
        <w:pStyle w:val="Heading2"/>
        <w:numPr>
          <w:ilvl w:val="0"/>
          <w:numId w:val="0"/>
        </w:numPr>
        <w:spacing w:after="0"/>
        <w:ind w:left="762"/>
        <w:jc w:val="both"/>
        <w:rPr>
          <w:szCs w:val="22"/>
        </w:rPr>
      </w:pPr>
      <w:r w:rsidRPr="0074721C">
        <w:rPr>
          <w:szCs w:val="22"/>
        </w:rPr>
        <w:t>We actively involve patients and their families in our safety efforts. Their perspectives and insights are invaluable in identifying potential risks and improving the patient experience</w:t>
      </w:r>
      <w:r w:rsidR="00B95D24">
        <w:rPr>
          <w:szCs w:val="22"/>
        </w:rPr>
        <w:t>, reinforced with a strong patient experience and patient engagement framework</w:t>
      </w:r>
      <w:r w:rsidR="004B3C05">
        <w:rPr>
          <w:szCs w:val="22"/>
        </w:rPr>
        <w:t>.</w:t>
      </w:r>
    </w:p>
    <w:p w14:paraId="3248B83E" w14:textId="77777777" w:rsidR="00C72EAE" w:rsidRDefault="00C72EAE" w:rsidP="00E61DD1">
      <w:pPr>
        <w:pStyle w:val="Heading2"/>
        <w:numPr>
          <w:ilvl w:val="0"/>
          <w:numId w:val="0"/>
        </w:numPr>
        <w:spacing w:after="0"/>
        <w:ind w:left="762"/>
        <w:jc w:val="both"/>
        <w:rPr>
          <w:szCs w:val="22"/>
        </w:rPr>
      </w:pPr>
    </w:p>
    <w:p w14:paraId="0C00EA0D" w14:textId="75BA1F88" w:rsidR="0074721C" w:rsidRDefault="0074721C" w:rsidP="00E61DD1">
      <w:pPr>
        <w:pStyle w:val="Heading2"/>
        <w:numPr>
          <w:ilvl w:val="0"/>
          <w:numId w:val="10"/>
        </w:numPr>
        <w:spacing w:after="0"/>
        <w:rPr>
          <w:szCs w:val="22"/>
        </w:rPr>
      </w:pPr>
      <w:r w:rsidRPr="0074721C">
        <w:rPr>
          <w:b/>
          <w:bCs/>
          <w:szCs w:val="22"/>
        </w:rPr>
        <w:t>Safety</w:t>
      </w:r>
      <w:r w:rsidR="002E1FCA">
        <w:rPr>
          <w:b/>
          <w:bCs/>
          <w:szCs w:val="22"/>
        </w:rPr>
        <w:t xml:space="preserve"> is a </w:t>
      </w:r>
      <w:r w:rsidR="004B3C05">
        <w:rPr>
          <w:b/>
          <w:bCs/>
          <w:szCs w:val="22"/>
        </w:rPr>
        <w:t>priority.</w:t>
      </w:r>
    </w:p>
    <w:p w14:paraId="1F7E2D36" w14:textId="7B7D090D" w:rsidR="0074721C" w:rsidRDefault="0074721C" w:rsidP="00E61DD1">
      <w:pPr>
        <w:pStyle w:val="Heading2"/>
        <w:numPr>
          <w:ilvl w:val="0"/>
          <w:numId w:val="0"/>
        </w:numPr>
        <w:spacing w:after="0"/>
        <w:ind w:left="762"/>
        <w:jc w:val="both"/>
        <w:rPr>
          <w:szCs w:val="22"/>
        </w:rPr>
      </w:pPr>
      <w:r w:rsidRPr="0074721C">
        <w:rPr>
          <w:szCs w:val="22"/>
        </w:rPr>
        <w:t>Patient safety deeply embedded in our organi</w:t>
      </w:r>
      <w:r w:rsidR="002E1FCA">
        <w:rPr>
          <w:szCs w:val="22"/>
        </w:rPr>
        <w:t>s</w:t>
      </w:r>
      <w:r w:rsidRPr="0074721C">
        <w:rPr>
          <w:szCs w:val="22"/>
        </w:rPr>
        <w:t xml:space="preserve">ational culture. </w:t>
      </w:r>
    </w:p>
    <w:p w14:paraId="7EC21F17" w14:textId="54D70352" w:rsidR="0074721C" w:rsidRDefault="00E05AC5" w:rsidP="00E61DD1">
      <w:pPr>
        <w:pStyle w:val="Heading2"/>
        <w:numPr>
          <w:ilvl w:val="0"/>
          <w:numId w:val="0"/>
        </w:numPr>
        <w:spacing w:after="0"/>
        <w:ind w:left="762"/>
        <w:jc w:val="both"/>
        <w:rPr>
          <w:szCs w:val="22"/>
        </w:rPr>
      </w:pPr>
      <w:r>
        <w:rPr>
          <w:szCs w:val="22"/>
        </w:rPr>
        <w:t xml:space="preserve">Safety principles </w:t>
      </w:r>
      <w:r w:rsidR="0074721C" w:rsidRPr="0074721C">
        <w:rPr>
          <w:szCs w:val="22"/>
        </w:rPr>
        <w:t xml:space="preserve">guides our decision-making, policies, and procedures, ensuring that the well-being of our patients remains at the forefront of all we do.  </w:t>
      </w:r>
    </w:p>
    <w:p w14:paraId="59498136" w14:textId="445331BD" w:rsidR="0074721C" w:rsidRDefault="0074721C" w:rsidP="00E61DD1">
      <w:pPr>
        <w:pStyle w:val="Heading2"/>
        <w:numPr>
          <w:ilvl w:val="0"/>
          <w:numId w:val="0"/>
        </w:numPr>
        <w:spacing w:after="0"/>
        <w:ind w:left="762"/>
        <w:jc w:val="both"/>
        <w:rPr>
          <w:szCs w:val="22"/>
        </w:rPr>
      </w:pPr>
      <w:r w:rsidRPr="0074721C">
        <w:rPr>
          <w:szCs w:val="22"/>
        </w:rPr>
        <w:t>By promoting a patient safety culture characterized by leadership commitment, open communication, reporting and learning, training and education, accountability, continuous improvement, patient involvement, and safety as a core value, Spire Healthcare aims to provide the highest standard of care while minimi</w:t>
      </w:r>
      <w:r w:rsidR="00E05AC5">
        <w:rPr>
          <w:szCs w:val="22"/>
        </w:rPr>
        <w:t>s</w:t>
      </w:r>
      <w:r w:rsidRPr="0074721C">
        <w:rPr>
          <w:szCs w:val="22"/>
        </w:rPr>
        <w:t xml:space="preserve">ing the risk of adverse events. </w:t>
      </w:r>
    </w:p>
    <w:p w14:paraId="10F7353B" w14:textId="77777777" w:rsidR="00C423F2" w:rsidRDefault="00C423F2" w:rsidP="00E61DD1">
      <w:pPr>
        <w:pStyle w:val="Heading2"/>
        <w:numPr>
          <w:ilvl w:val="0"/>
          <w:numId w:val="0"/>
        </w:numPr>
        <w:spacing w:after="0"/>
        <w:ind w:left="762"/>
        <w:jc w:val="both"/>
        <w:rPr>
          <w:szCs w:val="22"/>
        </w:rPr>
      </w:pPr>
    </w:p>
    <w:p w14:paraId="57E5EDE1" w14:textId="7BA0C46B" w:rsidR="004A4787" w:rsidRPr="005E078F" w:rsidRDefault="003443BC" w:rsidP="00E61DD1">
      <w:pPr>
        <w:pStyle w:val="Heading2"/>
        <w:spacing w:after="0"/>
        <w:jc w:val="both"/>
        <w:rPr>
          <w:b/>
          <w:bCs/>
        </w:rPr>
      </w:pPr>
      <w:r w:rsidRPr="005E078F">
        <w:rPr>
          <w:b/>
          <w:bCs/>
        </w:rPr>
        <w:t>Just Culture</w:t>
      </w:r>
    </w:p>
    <w:p w14:paraId="1E9D79EC" w14:textId="77777777" w:rsidR="00047B13" w:rsidRDefault="004A4787" w:rsidP="00E61DD1">
      <w:pPr>
        <w:pStyle w:val="Heading2"/>
        <w:numPr>
          <w:ilvl w:val="0"/>
          <w:numId w:val="0"/>
        </w:numPr>
        <w:spacing w:after="0"/>
        <w:ind w:left="762"/>
        <w:jc w:val="both"/>
      </w:pPr>
      <w:r w:rsidRPr="00D3155B">
        <w:t xml:space="preserve">Just Culture is a principle that promotes a blame-free environment where people feel comfortable reporting errors and near misses without fear of reprisal. It is based on the understanding that accidents and incidents are often the result of multiple factors, including human error, system failures, and organisational culture. </w:t>
      </w:r>
    </w:p>
    <w:p w14:paraId="0FABF072" w14:textId="6D0429B5" w:rsidR="00047B13" w:rsidRDefault="003528C8" w:rsidP="00E61DD1">
      <w:pPr>
        <w:pStyle w:val="Heading2"/>
        <w:numPr>
          <w:ilvl w:val="0"/>
          <w:numId w:val="0"/>
        </w:numPr>
        <w:spacing w:after="0"/>
        <w:ind w:left="762"/>
        <w:jc w:val="both"/>
      </w:pPr>
      <w:r>
        <w:t>Spire Healthcare</w:t>
      </w:r>
      <w:r w:rsidR="00997F48" w:rsidRPr="00D3155B">
        <w:t xml:space="preserve"> recognises the importance of ensuring that </w:t>
      </w:r>
      <w:r w:rsidR="004A4787" w:rsidRPr="00D3155B">
        <w:t xml:space="preserve">Just Culture is at the very foundation of all we do </w:t>
      </w:r>
      <w:r w:rsidR="00997F48" w:rsidRPr="00D3155B">
        <w:t xml:space="preserve">and </w:t>
      </w:r>
      <w:r w:rsidR="00874C34" w:rsidRPr="00D3155B">
        <w:t xml:space="preserve">supports a culture of fairness, openness and learning by making </w:t>
      </w:r>
      <w:r w:rsidR="00E05AC5">
        <w:t>colleagues and consultant partners</w:t>
      </w:r>
      <w:r w:rsidR="00874C34" w:rsidRPr="00D3155B">
        <w:t xml:space="preserve"> feel confident to speak up when things go wrong, rather than fearing blame.</w:t>
      </w:r>
      <w:r w:rsidR="00997F48" w:rsidRPr="00D3155B">
        <w:t xml:space="preserve">  </w:t>
      </w:r>
      <w:r w:rsidR="00874C34" w:rsidRPr="00D3155B">
        <w:t xml:space="preserve">Supporting </w:t>
      </w:r>
      <w:r w:rsidR="00E05AC5">
        <w:t xml:space="preserve">colleagues and consultant </w:t>
      </w:r>
      <w:r w:rsidR="00E05AC5">
        <w:lastRenderedPageBreak/>
        <w:t>partners</w:t>
      </w:r>
      <w:r w:rsidR="00874C34" w:rsidRPr="00D3155B">
        <w:t xml:space="preserve"> to be open about mistakes allows valuable lessons to be learnt so the same errors can be prevented from being repeated. </w:t>
      </w:r>
    </w:p>
    <w:p w14:paraId="621E3BF9" w14:textId="03BD80EC" w:rsidR="003F0262" w:rsidRDefault="00402FB6" w:rsidP="00E61DD1">
      <w:pPr>
        <w:pStyle w:val="Heading2"/>
        <w:numPr>
          <w:ilvl w:val="0"/>
          <w:numId w:val="0"/>
        </w:numPr>
        <w:spacing w:after="0"/>
        <w:ind w:left="762"/>
        <w:jc w:val="both"/>
      </w:pPr>
      <w:r w:rsidRPr="00AC4486">
        <w:t xml:space="preserve">Appendix </w:t>
      </w:r>
      <w:r w:rsidR="00AC4486" w:rsidRPr="00AC4486">
        <w:t>27</w:t>
      </w:r>
      <w:r w:rsidRPr="00AC4486">
        <w:t xml:space="preserve"> </w:t>
      </w:r>
      <w:r w:rsidR="003F0262" w:rsidRPr="00AC4486">
        <w:t xml:space="preserve">Spire </w:t>
      </w:r>
      <w:r w:rsidR="00E468AF" w:rsidRPr="00AC4486">
        <w:t>Healthcare</w:t>
      </w:r>
      <w:r w:rsidRPr="00AC4486">
        <w:t xml:space="preserve"> Just Culture </w:t>
      </w:r>
      <w:r w:rsidR="00E468AF" w:rsidRPr="00AC4486">
        <w:t>Managers step by step guide</w:t>
      </w:r>
      <w:r w:rsidR="00E23EFA" w:rsidRPr="00AC4486">
        <w:t>.</w:t>
      </w:r>
    </w:p>
    <w:p w14:paraId="0167A9F3" w14:textId="77777777" w:rsidR="00C423F2" w:rsidRDefault="00C423F2" w:rsidP="00E61DD1">
      <w:pPr>
        <w:pStyle w:val="Heading2"/>
        <w:numPr>
          <w:ilvl w:val="0"/>
          <w:numId w:val="0"/>
        </w:numPr>
        <w:spacing w:after="0"/>
        <w:ind w:left="762"/>
        <w:jc w:val="both"/>
      </w:pPr>
    </w:p>
    <w:p w14:paraId="41F0652A" w14:textId="6BB084D2" w:rsidR="00047B13" w:rsidRPr="00310A4D" w:rsidRDefault="00047B13" w:rsidP="00E61DD1">
      <w:pPr>
        <w:pStyle w:val="Heading2"/>
        <w:spacing w:after="0"/>
        <w:jc w:val="both"/>
        <w:rPr>
          <w:b/>
          <w:bCs/>
        </w:rPr>
      </w:pPr>
      <w:r w:rsidRPr="00310A4D">
        <w:rPr>
          <w:b/>
          <w:bCs/>
        </w:rPr>
        <w:t>Psychological safety</w:t>
      </w:r>
    </w:p>
    <w:p w14:paraId="26FE4DA4" w14:textId="0058897D" w:rsidR="00D95289" w:rsidRPr="00047B13" w:rsidRDefault="00047B13" w:rsidP="00E61DD1">
      <w:pPr>
        <w:pStyle w:val="Heading2"/>
        <w:numPr>
          <w:ilvl w:val="0"/>
          <w:numId w:val="0"/>
        </w:numPr>
        <w:spacing w:after="0"/>
        <w:ind w:left="762"/>
        <w:jc w:val="both"/>
        <w:rPr>
          <w:b/>
          <w:bCs/>
          <w:i/>
          <w:iCs/>
          <w:color w:val="008385"/>
          <w:sz w:val="24"/>
        </w:rPr>
      </w:pPr>
      <w:r>
        <w:t>Psychological safety is created in an environment where there is openness and trust that allows team members to feel comfortable taking risks and making mistakes. To be able to work in a psychologically safe environment, it is vital for healthcare professionals and patients to feel comfortable in sharing their concerns, fears or any other issues that might hinder</w:t>
      </w:r>
      <w:r w:rsidR="007F5574">
        <w:t xml:space="preserve"> </w:t>
      </w:r>
      <w:r>
        <w:t>(reduce) the quality of patient care.’ (Psychological Safety Academy, 2022)</w:t>
      </w:r>
      <w:r w:rsidR="00E42E18">
        <w:t>.</w:t>
      </w:r>
      <w:r>
        <w:cr/>
      </w:r>
    </w:p>
    <w:p w14:paraId="1A0036DA" w14:textId="77777777" w:rsidR="00D3155B" w:rsidRPr="004B3C05" w:rsidRDefault="00D3155B" w:rsidP="00E61DD1">
      <w:pPr>
        <w:pStyle w:val="Heading1"/>
        <w:rPr>
          <w:caps w:val="0"/>
          <w:color w:val="008385"/>
        </w:rPr>
      </w:pPr>
      <w:bookmarkStart w:id="11" w:name="_Toc159429851"/>
      <w:r w:rsidRPr="004B3C05">
        <w:rPr>
          <w:caps w:val="0"/>
          <w:color w:val="008385"/>
        </w:rPr>
        <w:t>PATIENT SAFETY PARTNERS</w:t>
      </w:r>
      <w:bookmarkEnd w:id="11"/>
    </w:p>
    <w:p w14:paraId="2A67A6C8" w14:textId="77777777" w:rsidR="0074721C" w:rsidRDefault="0074721C" w:rsidP="00E61DD1">
      <w:pPr>
        <w:pStyle w:val="Heading1"/>
        <w:numPr>
          <w:ilvl w:val="0"/>
          <w:numId w:val="0"/>
        </w:numPr>
        <w:ind w:left="762"/>
      </w:pPr>
    </w:p>
    <w:p w14:paraId="0224FAC9" w14:textId="2ACB468B" w:rsidR="0074721C" w:rsidRDefault="0074721C" w:rsidP="00E61DD1">
      <w:pPr>
        <w:pStyle w:val="Heading2"/>
        <w:numPr>
          <w:ilvl w:val="1"/>
          <w:numId w:val="8"/>
        </w:numPr>
        <w:spacing w:after="0"/>
        <w:jc w:val="both"/>
      </w:pPr>
      <w:r>
        <w:t xml:space="preserve">The Patient Safety Partner (PSP) is a new and evolving role developed by NHS England / Improvement to help improve patient safety. The main purpose of the role is to be a voice for the patients and community who utilise our services and ensure that patient safety is at the forefront of all that we do. </w:t>
      </w:r>
      <w:r w:rsidR="008512AF">
        <w:t xml:space="preserve"> </w:t>
      </w:r>
    </w:p>
    <w:p w14:paraId="00EDA6FA" w14:textId="77777777" w:rsidR="00C423F2" w:rsidRDefault="00C423F2" w:rsidP="00C423F2">
      <w:pPr>
        <w:pStyle w:val="Heading2"/>
        <w:numPr>
          <w:ilvl w:val="0"/>
          <w:numId w:val="0"/>
        </w:numPr>
        <w:spacing w:after="0"/>
        <w:ind w:left="762"/>
        <w:jc w:val="both"/>
      </w:pPr>
    </w:p>
    <w:p w14:paraId="5FB5901D" w14:textId="50E3F8AD" w:rsidR="0074721C" w:rsidRDefault="0074721C" w:rsidP="00E61DD1">
      <w:pPr>
        <w:pStyle w:val="Heading2"/>
        <w:numPr>
          <w:ilvl w:val="1"/>
          <w:numId w:val="8"/>
        </w:numPr>
        <w:spacing w:after="0"/>
        <w:jc w:val="both"/>
      </w:pPr>
      <w:r>
        <w:t xml:space="preserve">It is recognised that the role of the Patient Safety Partner is </w:t>
      </w:r>
      <w:r w:rsidR="00537EF2">
        <w:t xml:space="preserve">a </w:t>
      </w:r>
      <w:r>
        <w:t>new</w:t>
      </w:r>
      <w:r w:rsidR="00537EF2">
        <w:t xml:space="preserve"> role in</w:t>
      </w:r>
      <w:r w:rsidR="00F7420C">
        <w:t xml:space="preserve"> both the</w:t>
      </w:r>
      <w:r w:rsidR="00537EF2">
        <w:t xml:space="preserve"> NHS and the independent sector. Spire Healthcare has worked with NHS England and IHPN to </w:t>
      </w:r>
      <w:r w:rsidR="00593A7A">
        <w:t>define how</w:t>
      </w:r>
      <w:r w:rsidR="008512AF">
        <w:t xml:space="preserve"> this role will function </w:t>
      </w:r>
      <w:r w:rsidR="00537EF2">
        <w:t>with</w:t>
      </w:r>
      <w:r w:rsidR="008512AF">
        <w:t xml:space="preserve">in the </w:t>
      </w:r>
      <w:r w:rsidR="00BB65B6">
        <w:t>independent</w:t>
      </w:r>
      <w:r w:rsidR="008512AF">
        <w:t xml:space="preserve"> sector</w:t>
      </w:r>
      <w:r w:rsidR="00537EF2">
        <w:t>.</w:t>
      </w:r>
      <w:r w:rsidR="008512AF">
        <w:t xml:space="preserve"> </w:t>
      </w:r>
      <w:r w:rsidR="00F7420C">
        <w:t xml:space="preserve">Clear guidance for the independent sector is yet to be confirmed however we are exploring this opportunity </w:t>
      </w:r>
      <w:r w:rsidR="00BB65B6">
        <w:t>to fully</w:t>
      </w:r>
      <w:r w:rsidR="00F7420C">
        <w:t xml:space="preserve"> understand how our patient safety </w:t>
      </w:r>
      <w:r w:rsidR="00593A7A">
        <w:t>partners will</w:t>
      </w:r>
      <w:r w:rsidR="00F7420C">
        <w:t xml:space="preserve"> integrate within our services</w:t>
      </w:r>
      <w:r w:rsidR="005F311D">
        <w:t>.</w:t>
      </w:r>
      <w:r w:rsidR="00F7420C">
        <w:t xml:space="preserve"> </w:t>
      </w:r>
      <w:r>
        <w:t xml:space="preserve"> Spire Healthcare</w:t>
      </w:r>
      <w:r w:rsidR="00537EF2">
        <w:t xml:space="preserve"> </w:t>
      </w:r>
      <w:r w:rsidR="00F7420C">
        <w:t xml:space="preserve">will ensure that this new role </w:t>
      </w:r>
      <w:r w:rsidR="00537EF2">
        <w:t>compliment</w:t>
      </w:r>
      <w:r w:rsidR="00F7420C">
        <w:t>s</w:t>
      </w:r>
      <w:r w:rsidR="00537EF2">
        <w:t xml:space="preserve"> the patient engagement and experience framework</w:t>
      </w:r>
      <w:r w:rsidR="005F311D" w:rsidRPr="005F311D">
        <w:t xml:space="preserve"> to enable us to further add to the opportunity to hear our patients</w:t>
      </w:r>
      <w:r w:rsidR="005F5D8F">
        <w:t xml:space="preserve"> in patient safety event</w:t>
      </w:r>
      <w:r w:rsidR="00F7420C">
        <w:t xml:space="preserve">. </w:t>
      </w:r>
      <w:r>
        <w:t xml:space="preserve">  </w:t>
      </w:r>
    </w:p>
    <w:p w14:paraId="7EF26595" w14:textId="77777777" w:rsidR="00BC49A4" w:rsidRDefault="00BC49A4" w:rsidP="00BC49A4">
      <w:pPr>
        <w:pStyle w:val="ListParagraph"/>
      </w:pPr>
    </w:p>
    <w:p w14:paraId="5A1B1187" w14:textId="5E9C20E4" w:rsidR="000E4047" w:rsidRDefault="00BC49A4" w:rsidP="000E4047">
      <w:pPr>
        <w:pStyle w:val="Heading2"/>
        <w:numPr>
          <w:ilvl w:val="1"/>
          <w:numId w:val="8"/>
        </w:numPr>
        <w:spacing w:after="0"/>
      </w:pPr>
      <w:r w:rsidRPr="00BC49A4">
        <w:t>During recruitment of PSPs consideration will be given to diversity and where gaps in partners with specific characteristics are identified, active recruitment will be led to ensure diversity in this key stakeholder group.</w:t>
      </w:r>
    </w:p>
    <w:p w14:paraId="61B7896A" w14:textId="77777777" w:rsidR="000E4047" w:rsidRPr="00BC49A4" w:rsidRDefault="000E4047" w:rsidP="000E4047">
      <w:pPr>
        <w:pStyle w:val="Heading2"/>
        <w:numPr>
          <w:ilvl w:val="0"/>
          <w:numId w:val="0"/>
        </w:numPr>
        <w:spacing w:after="0"/>
      </w:pPr>
    </w:p>
    <w:p w14:paraId="7ECF257E" w14:textId="54B04675" w:rsidR="00AF2BD8" w:rsidRDefault="0074721C" w:rsidP="00E61DD1">
      <w:pPr>
        <w:pStyle w:val="Heading2"/>
        <w:numPr>
          <w:ilvl w:val="1"/>
          <w:numId w:val="8"/>
        </w:numPr>
        <w:spacing w:after="0"/>
        <w:jc w:val="both"/>
      </w:pPr>
      <w:r>
        <w:t xml:space="preserve">It is envisaged that the Patient Safety Partners </w:t>
      </w:r>
      <w:r w:rsidR="008512AF">
        <w:t xml:space="preserve">roles will be developed </w:t>
      </w:r>
      <w:r w:rsidR="00DC0E66">
        <w:t xml:space="preserve">further </w:t>
      </w:r>
      <w:r w:rsidR="008512AF">
        <w:t>during 2024</w:t>
      </w:r>
      <w:r>
        <w:t xml:space="preserve">.  </w:t>
      </w:r>
    </w:p>
    <w:p w14:paraId="427E704D" w14:textId="77777777" w:rsidR="00047B13" w:rsidRDefault="00047B13" w:rsidP="00E61DD1">
      <w:pPr>
        <w:pStyle w:val="Heading1"/>
        <w:numPr>
          <w:ilvl w:val="0"/>
          <w:numId w:val="0"/>
        </w:numPr>
        <w:ind w:left="762"/>
      </w:pPr>
    </w:p>
    <w:p w14:paraId="6A95BB86" w14:textId="7625DBF0" w:rsidR="00047B13" w:rsidRPr="004B3C05" w:rsidRDefault="004B3C05" w:rsidP="00E61DD1">
      <w:pPr>
        <w:pStyle w:val="Heading1"/>
        <w:rPr>
          <w:caps w:val="0"/>
          <w:color w:val="008385"/>
        </w:rPr>
      </w:pPr>
      <w:bookmarkStart w:id="12" w:name="_Toc159429852"/>
      <w:r w:rsidRPr="004B3C05">
        <w:rPr>
          <w:caps w:val="0"/>
          <w:color w:val="008385"/>
        </w:rPr>
        <w:t>ADDRESSING HEALTH INEQUALITIES</w:t>
      </w:r>
      <w:bookmarkEnd w:id="12"/>
    </w:p>
    <w:p w14:paraId="2F28F33B" w14:textId="77777777" w:rsidR="00AF2BD8" w:rsidRDefault="00AF2BD8" w:rsidP="00E61DD1">
      <w:pPr>
        <w:pStyle w:val="ListParagraph"/>
      </w:pPr>
    </w:p>
    <w:p w14:paraId="70AEBE92" w14:textId="74D71386" w:rsidR="00347C03" w:rsidRDefault="00F555C4" w:rsidP="00AB2AC6">
      <w:pPr>
        <w:pStyle w:val="Heading2"/>
        <w:numPr>
          <w:ilvl w:val="1"/>
          <w:numId w:val="31"/>
        </w:numPr>
        <w:spacing w:after="0"/>
        <w:jc w:val="both"/>
      </w:pPr>
      <w:r>
        <w:t xml:space="preserve">Addressing health inequalities is an organisational priority as seen through </w:t>
      </w:r>
      <w:r w:rsidR="007F5574">
        <w:t>o</w:t>
      </w:r>
      <w:r>
        <w:t xml:space="preserve">ur </w:t>
      </w:r>
      <w:r w:rsidR="00347C03">
        <w:t>purpose,</w:t>
      </w:r>
      <w:r>
        <w:t xml:space="preserve"> </w:t>
      </w:r>
      <w:r w:rsidR="00347C03">
        <w:t>‘</w:t>
      </w:r>
      <w:r w:rsidR="007F5574">
        <w:t>m</w:t>
      </w:r>
      <w:r>
        <w:t>aking a positive difference to people’s lives, through outstanding personalised care</w:t>
      </w:r>
      <w:r w:rsidR="00347C03">
        <w:t>’</w:t>
      </w:r>
      <w:r>
        <w:t xml:space="preserve">. This will include but not be limited to the implementation of the PSIRF. </w:t>
      </w:r>
    </w:p>
    <w:p w14:paraId="2951ED06" w14:textId="77777777" w:rsidR="00347C03" w:rsidRDefault="00347C03" w:rsidP="00347C03">
      <w:pPr>
        <w:pStyle w:val="Heading2"/>
        <w:numPr>
          <w:ilvl w:val="0"/>
          <w:numId w:val="0"/>
        </w:numPr>
        <w:spacing w:after="0"/>
        <w:ind w:left="762"/>
        <w:jc w:val="both"/>
      </w:pPr>
    </w:p>
    <w:p w14:paraId="193FE9E4" w14:textId="667DE163" w:rsidR="00347C03" w:rsidRDefault="00F555C4" w:rsidP="00E61DD1">
      <w:pPr>
        <w:pStyle w:val="Heading2"/>
        <w:spacing w:after="0"/>
        <w:jc w:val="both"/>
      </w:pPr>
      <w:r>
        <w:t xml:space="preserve">Learning identified through patient safety incident investigations will ensure effective communication with all patients including those who have additional requirements due to physical or learning disabilities. Patient safety responses will continue to </w:t>
      </w:r>
      <w:r w:rsidR="00347C03">
        <w:t xml:space="preserve">support </w:t>
      </w:r>
      <w:r>
        <w:t xml:space="preserve">health equalities through a variety of routes including quality improvement, lessons learned forums, </w:t>
      </w:r>
      <w:r w:rsidR="00347C03">
        <w:t>systems,</w:t>
      </w:r>
      <w:r>
        <w:t xml:space="preserve"> and process. </w:t>
      </w:r>
    </w:p>
    <w:p w14:paraId="4A9669E0" w14:textId="77777777" w:rsidR="00347C03" w:rsidRDefault="00347C03" w:rsidP="00347C03">
      <w:pPr>
        <w:pStyle w:val="Heading2"/>
        <w:numPr>
          <w:ilvl w:val="0"/>
          <w:numId w:val="0"/>
        </w:numPr>
        <w:spacing w:after="0"/>
        <w:ind w:left="762"/>
        <w:jc w:val="both"/>
      </w:pPr>
    </w:p>
    <w:p w14:paraId="4CDD442D" w14:textId="130B2810" w:rsidR="00BC49A4" w:rsidRPr="005D59F0" w:rsidRDefault="00BC49A4" w:rsidP="00317127">
      <w:pPr>
        <w:pStyle w:val="Heading2"/>
        <w:spacing w:after="0"/>
        <w:jc w:val="both"/>
      </w:pPr>
      <w:r w:rsidRPr="005D59F0">
        <w:t>Datix will allow for the details of patients to be directly drawn from associated patient administration and electronic health record systems, and Incident/Events can then be analysed by</w:t>
      </w:r>
      <w:r w:rsidR="00317127" w:rsidRPr="005D59F0">
        <w:t xml:space="preserve"> the nine protected characteristics (of age, disability, gender reassignment, marriage and civil partnership, pregnancy and maternity, race, religion or belief, sex and sexual orientation) </w:t>
      </w:r>
      <w:r w:rsidRPr="005D59F0">
        <w:t>to give insight into any apparent inequalities.</w:t>
      </w:r>
    </w:p>
    <w:p w14:paraId="031657A7" w14:textId="77777777" w:rsidR="00317127" w:rsidRPr="005D59F0" w:rsidRDefault="00317127" w:rsidP="00317127">
      <w:pPr>
        <w:pStyle w:val="ListParagraph"/>
      </w:pPr>
    </w:p>
    <w:p w14:paraId="5D9D7FFF" w14:textId="4EB49395" w:rsidR="00347C03" w:rsidRPr="005D59F0" w:rsidRDefault="00686290" w:rsidP="00BC49A4">
      <w:pPr>
        <w:pStyle w:val="Heading2"/>
        <w:spacing w:after="0"/>
        <w:jc w:val="both"/>
      </w:pPr>
      <w:r w:rsidRPr="005D59F0">
        <w:t>Spire Healthcare w</w:t>
      </w:r>
      <w:r w:rsidR="00620070" w:rsidRPr="005D59F0">
        <w:t xml:space="preserve">ill </w:t>
      </w:r>
      <w:r w:rsidR="0031418C" w:rsidRPr="005D59F0">
        <w:t>directly address</w:t>
      </w:r>
      <w:r w:rsidR="00347C03" w:rsidRPr="005D59F0">
        <w:t>,</w:t>
      </w:r>
      <w:r w:rsidR="0031418C" w:rsidRPr="005D59F0">
        <w:t xml:space="preserve"> as part of our response</w:t>
      </w:r>
      <w:r w:rsidR="00347C03" w:rsidRPr="005D59F0">
        <w:t>,</w:t>
      </w:r>
      <w:r w:rsidR="0031418C" w:rsidRPr="005D59F0">
        <w:t xml:space="preserve"> any features of an incident which indicate that health inequalities may have contributed to harm or demonstrate a risk to a particular population group</w:t>
      </w:r>
      <w:r w:rsidR="00347C03" w:rsidRPr="005D59F0">
        <w:t>.  This will incl</w:t>
      </w:r>
      <w:r w:rsidR="00BC49A4" w:rsidRPr="005D59F0">
        <w:t>ude a tailored approach to different protected characteristics</w:t>
      </w:r>
      <w:r w:rsidR="00317127" w:rsidRPr="005D59F0">
        <w:t xml:space="preserve"> and appropriate adjustments made if required</w:t>
      </w:r>
      <w:r w:rsidR="0031418C" w:rsidRPr="005D59F0">
        <w:t xml:space="preserve">. When constructing our safety actions in response to any incident we will consider inequalities, and this will be inbuilt into our documentation and governance processes. </w:t>
      </w:r>
    </w:p>
    <w:p w14:paraId="269E110F" w14:textId="77777777" w:rsidR="00317127" w:rsidRPr="005D59F0" w:rsidRDefault="00317127" w:rsidP="00317127">
      <w:pPr>
        <w:pStyle w:val="ListParagraph"/>
      </w:pPr>
    </w:p>
    <w:p w14:paraId="453FB6B5" w14:textId="31C5F10D" w:rsidR="000A3B50" w:rsidRPr="005D59F0" w:rsidRDefault="00884071" w:rsidP="00B662DA">
      <w:pPr>
        <w:pStyle w:val="Heading2"/>
        <w:spacing w:after="0"/>
        <w:jc w:val="both"/>
      </w:pPr>
      <w:r w:rsidRPr="005D59F0">
        <w:t xml:space="preserve">Engagement </w:t>
      </w:r>
      <w:r w:rsidR="00DA09CF" w:rsidRPr="005D59F0">
        <w:t>of patient</w:t>
      </w:r>
      <w:r w:rsidR="002A02C7" w:rsidRPr="005D59F0">
        <w:t>s</w:t>
      </w:r>
      <w:r w:rsidR="00DA09CF" w:rsidRPr="005D59F0">
        <w:t>, families</w:t>
      </w:r>
      <w:r w:rsidR="00907542" w:rsidRPr="005D59F0">
        <w:t xml:space="preserve">, colleagues, and Consultant partners </w:t>
      </w:r>
      <w:r w:rsidR="00DA09CF" w:rsidRPr="005D59F0">
        <w:t xml:space="preserve">following a patient safety incident is critical to the review of patient safety incidents and their response. </w:t>
      </w:r>
      <w:r w:rsidR="00A6622B" w:rsidRPr="005D59F0">
        <w:t>Spire Healthcare is committed to ensuring our colleagues</w:t>
      </w:r>
      <w:r w:rsidR="00F270F1" w:rsidRPr="005D59F0">
        <w:t xml:space="preserve"> </w:t>
      </w:r>
      <w:r w:rsidR="00A6622B" w:rsidRPr="005D59F0">
        <w:t>have appropriate training (e.g. Oliver McGowan</w:t>
      </w:r>
      <w:r w:rsidR="000E4047" w:rsidRPr="005D59F0">
        <w:t xml:space="preserve"> and National Autistic Society</w:t>
      </w:r>
      <w:r w:rsidR="00A6622B" w:rsidRPr="005D59F0">
        <w:t xml:space="preserve">) to </w:t>
      </w:r>
      <w:r w:rsidR="00DA09CF" w:rsidRPr="005D59F0">
        <w:t xml:space="preserve">ensure </w:t>
      </w:r>
      <w:r w:rsidR="00A6622B" w:rsidRPr="005D59F0">
        <w:t xml:space="preserve">reasonable adjustments are made and </w:t>
      </w:r>
      <w:r w:rsidR="00DA09CF" w:rsidRPr="005D59F0">
        <w:t xml:space="preserve">that available tools such as easy read, translation and interpretation </w:t>
      </w:r>
      <w:r w:rsidR="00DA09CF" w:rsidRPr="005D59F0">
        <w:lastRenderedPageBreak/>
        <w:t>services and other methods as appropriate to meet the needs of those concerned and maximise their potential to be involved in our patient safety incident response</w:t>
      </w:r>
      <w:r w:rsidR="00A6622B" w:rsidRPr="005D59F0">
        <w:t>s</w:t>
      </w:r>
      <w:r w:rsidR="00DA09CF" w:rsidRPr="005D59F0">
        <w:t>.</w:t>
      </w:r>
    </w:p>
    <w:p w14:paraId="349AB8E7" w14:textId="77777777" w:rsidR="00D95289" w:rsidRPr="00A8149D" w:rsidRDefault="00D95289" w:rsidP="00E61DD1">
      <w:pPr>
        <w:pStyle w:val="Heading2"/>
        <w:numPr>
          <w:ilvl w:val="0"/>
          <w:numId w:val="0"/>
        </w:numPr>
        <w:spacing w:after="0"/>
        <w:ind w:left="762"/>
        <w:jc w:val="both"/>
      </w:pPr>
    </w:p>
    <w:p w14:paraId="6002D8DE" w14:textId="3BDBE3F6" w:rsidR="00AF2BD8" w:rsidRPr="004B3C05" w:rsidRDefault="00AF2BD8" w:rsidP="00E61DD1">
      <w:pPr>
        <w:pStyle w:val="Heading1"/>
        <w:rPr>
          <w:caps w:val="0"/>
          <w:color w:val="008385"/>
        </w:rPr>
      </w:pPr>
      <w:bookmarkStart w:id="13" w:name="_Toc148650883"/>
      <w:bookmarkStart w:id="14" w:name="_Toc159429853"/>
      <w:r w:rsidRPr="004B3C05">
        <w:rPr>
          <w:caps w:val="0"/>
          <w:color w:val="008385"/>
        </w:rPr>
        <w:t>ENGAGING AND INVOLVING PATIENTS, FAMILIES</w:t>
      </w:r>
      <w:r w:rsidR="008512AF" w:rsidRPr="004B3C05">
        <w:rPr>
          <w:caps w:val="0"/>
          <w:color w:val="008385"/>
        </w:rPr>
        <w:t>,</w:t>
      </w:r>
      <w:r w:rsidRPr="004B3C05">
        <w:rPr>
          <w:caps w:val="0"/>
          <w:color w:val="008385"/>
        </w:rPr>
        <w:t xml:space="preserve"> </w:t>
      </w:r>
      <w:r w:rsidR="008512AF" w:rsidRPr="004B3C05">
        <w:rPr>
          <w:caps w:val="0"/>
          <w:color w:val="008385"/>
        </w:rPr>
        <w:t xml:space="preserve">COLLEAGUES and CONSULTANT PARTNERS </w:t>
      </w:r>
      <w:r w:rsidRPr="004B3C05">
        <w:rPr>
          <w:caps w:val="0"/>
          <w:color w:val="008385"/>
        </w:rPr>
        <w:t>FOLLOWING A PATIENT SAFETY INCIDENT</w:t>
      </w:r>
      <w:bookmarkEnd w:id="13"/>
      <w:bookmarkEnd w:id="14"/>
    </w:p>
    <w:p w14:paraId="7C9CC073" w14:textId="77777777" w:rsidR="00074C73" w:rsidRDefault="00074C73" w:rsidP="00E61DD1">
      <w:pPr>
        <w:pStyle w:val="Heading1"/>
        <w:numPr>
          <w:ilvl w:val="0"/>
          <w:numId w:val="0"/>
        </w:numPr>
        <w:ind w:left="762"/>
      </w:pPr>
    </w:p>
    <w:p w14:paraId="4694ACDE" w14:textId="0A48255C" w:rsidR="00AF2BD8" w:rsidRDefault="00AF2BD8" w:rsidP="00E61DD1">
      <w:pPr>
        <w:pStyle w:val="Heading2"/>
        <w:numPr>
          <w:ilvl w:val="1"/>
          <w:numId w:val="9"/>
        </w:numPr>
        <w:spacing w:after="0"/>
        <w:jc w:val="both"/>
      </w:pPr>
      <w:r w:rsidRPr="00C215D1">
        <w:t>PSIRF recognises that learning and improvement following a patient safety incident can only be achieved if supportive systems and processes are in place. It supports the development of an effective patient safety incident response system that prioritises compassionate engagement and involvement of those affected by patient safety incidents (including patients, families</w:t>
      </w:r>
      <w:r w:rsidR="007431B2" w:rsidRPr="00C215D1">
        <w:t xml:space="preserve">, </w:t>
      </w:r>
      <w:r w:rsidR="004B3C05" w:rsidRPr="00C215D1">
        <w:t>colleagues,</w:t>
      </w:r>
      <w:r w:rsidR="007431B2" w:rsidRPr="00C215D1">
        <w:t xml:space="preserve"> and consultant partners</w:t>
      </w:r>
      <w:r w:rsidRPr="00C215D1">
        <w:t>). This involves working with those affected by patient safety incidents to understand and answer any questions they have in relation to the incident and signpost them to support as required.</w:t>
      </w:r>
      <w:r w:rsidR="004D632C" w:rsidRPr="00C215D1">
        <w:t xml:space="preserve"> </w:t>
      </w:r>
      <w:r w:rsidR="005D565E" w:rsidRPr="00C215D1">
        <w:t xml:space="preserve">Information leaflets are being developed for </w:t>
      </w:r>
      <w:r w:rsidR="007431B2" w:rsidRPr="00C215D1">
        <w:t>colleagues,</w:t>
      </w:r>
      <w:r w:rsidR="005D565E" w:rsidRPr="00C215D1">
        <w:t xml:space="preserve"> patients and families involved </w:t>
      </w:r>
      <w:r w:rsidR="00AE100D" w:rsidRPr="00C215D1">
        <w:t xml:space="preserve">in the incident. </w:t>
      </w:r>
    </w:p>
    <w:p w14:paraId="4B3B3209" w14:textId="77777777" w:rsidR="00C423F2" w:rsidRPr="00C215D1" w:rsidRDefault="00C423F2" w:rsidP="00C423F2">
      <w:pPr>
        <w:pStyle w:val="Heading2"/>
        <w:numPr>
          <w:ilvl w:val="0"/>
          <w:numId w:val="0"/>
        </w:numPr>
        <w:spacing w:after="0"/>
        <w:ind w:left="762"/>
        <w:jc w:val="both"/>
      </w:pPr>
    </w:p>
    <w:p w14:paraId="2EC1AE53" w14:textId="497917B0" w:rsidR="00B6776D" w:rsidRDefault="00B6776D" w:rsidP="00E61DD1">
      <w:pPr>
        <w:pStyle w:val="Heading2"/>
        <w:numPr>
          <w:ilvl w:val="1"/>
          <w:numId w:val="9"/>
        </w:numPr>
        <w:spacing w:after="0"/>
        <w:jc w:val="both"/>
      </w:pPr>
      <w:r w:rsidRPr="00C215D1">
        <w:t xml:space="preserve">Spire Healthcare is committed to creating a culture of openness with patients, </w:t>
      </w:r>
      <w:r w:rsidR="004B3C05" w:rsidRPr="00C215D1">
        <w:t>families,</w:t>
      </w:r>
      <w:r w:rsidRPr="00C215D1">
        <w:t xml:space="preserve"> and carers particularly when clinical outcomes are not as expected or planned. There is a responsibility as well as a statutory requirement under CQC Regulation 20, Duty of Candour for all healthcare organisations to be open and transparent with patients and their families when things go wrong with treatment or care delivery. Registered professionals should also refer to their professional guidance with reference to Duty of Candour requirements. This forms the basic principle of </w:t>
      </w:r>
      <w:r w:rsidR="00097EA6" w:rsidRPr="00C215D1">
        <w:t>our policy</w:t>
      </w:r>
      <w:r w:rsidR="00BA5AE7" w:rsidRPr="00C215D1">
        <w:t>.</w:t>
      </w:r>
      <w:r w:rsidR="00097EA6" w:rsidRPr="00C215D1">
        <w:t xml:space="preserve"> </w:t>
      </w:r>
      <w:r w:rsidR="00BA5AE7" w:rsidRPr="00C215D1">
        <w:t>For more information see FIN05 Duty of Candour policy</w:t>
      </w:r>
      <w:r w:rsidR="007F5574" w:rsidRPr="00C215D1">
        <w:t>.</w:t>
      </w:r>
    </w:p>
    <w:p w14:paraId="208E518F" w14:textId="77777777" w:rsidR="00C423F2" w:rsidRPr="00C215D1" w:rsidRDefault="00C423F2" w:rsidP="00C423F2">
      <w:pPr>
        <w:pStyle w:val="Heading2"/>
        <w:numPr>
          <w:ilvl w:val="0"/>
          <w:numId w:val="0"/>
        </w:numPr>
        <w:spacing w:after="0"/>
        <w:jc w:val="both"/>
      </w:pPr>
    </w:p>
    <w:p w14:paraId="7CF9BA20" w14:textId="7335229D" w:rsidR="0074721C" w:rsidRDefault="0074721C" w:rsidP="00E61DD1">
      <w:pPr>
        <w:pStyle w:val="Heading2"/>
        <w:numPr>
          <w:ilvl w:val="1"/>
          <w:numId w:val="9"/>
        </w:numPr>
        <w:spacing w:after="0"/>
        <w:jc w:val="both"/>
      </w:pPr>
      <w:r>
        <w:t xml:space="preserve">Patients and their families </w:t>
      </w:r>
      <w:r w:rsidR="003E2884">
        <w:t xml:space="preserve">will </w:t>
      </w:r>
      <w:r>
        <w:t xml:space="preserve">be given the opportunity to ask questions and express their concerns. They </w:t>
      </w:r>
      <w:r w:rsidR="003E2884">
        <w:t>will</w:t>
      </w:r>
      <w:r>
        <w:t xml:space="preserve"> be kept informed of the progress of the </w:t>
      </w:r>
      <w:r w:rsidR="0090210B">
        <w:t>incident response</w:t>
      </w:r>
      <w:r>
        <w:t xml:space="preserve"> and the results of any recommendations. Additionally, they </w:t>
      </w:r>
      <w:r w:rsidR="003E2884">
        <w:t>will</w:t>
      </w:r>
      <w:r>
        <w:t xml:space="preserve"> be invited to participate in efforts to improve patient safety.</w:t>
      </w:r>
    </w:p>
    <w:p w14:paraId="19AC4093" w14:textId="77777777" w:rsidR="00C423F2" w:rsidRDefault="00C423F2" w:rsidP="00C423F2">
      <w:pPr>
        <w:pStyle w:val="Heading2"/>
        <w:numPr>
          <w:ilvl w:val="0"/>
          <w:numId w:val="0"/>
        </w:numPr>
        <w:spacing w:after="0"/>
        <w:jc w:val="both"/>
      </w:pPr>
    </w:p>
    <w:p w14:paraId="5A28BBE8" w14:textId="5A63701E" w:rsidR="00686290" w:rsidRDefault="00D4744E" w:rsidP="00317127">
      <w:pPr>
        <w:pStyle w:val="Heading2"/>
        <w:numPr>
          <w:ilvl w:val="1"/>
          <w:numId w:val="9"/>
        </w:numPr>
        <w:spacing w:after="0"/>
        <w:jc w:val="both"/>
      </w:pPr>
      <w:r w:rsidRPr="005D59F0">
        <w:t xml:space="preserve">For all </w:t>
      </w:r>
      <w:r w:rsidR="00317127" w:rsidRPr="005D59F0">
        <w:t>patient safety incident investigations (or other learning responses where applicable)</w:t>
      </w:r>
      <w:r w:rsidR="00BC49A4" w:rsidRPr="005D59F0">
        <w:t>,</w:t>
      </w:r>
      <w:r w:rsidR="0022072D" w:rsidRPr="005D59F0">
        <w:t xml:space="preserve"> a patient engagement lead will</w:t>
      </w:r>
      <w:r w:rsidR="00DE113A" w:rsidRPr="005D59F0">
        <w:t xml:space="preserve"> be</w:t>
      </w:r>
      <w:r w:rsidR="0022072D" w:rsidRPr="005D59F0">
        <w:t xml:space="preserve"> identified who will be responsible for initial contact with either the patient </w:t>
      </w:r>
      <w:r w:rsidR="00317127" w:rsidRPr="005D59F0">
        <w:t>and/or their family/carer</w:t>
      </w:r>
      <w:r w:rsidR="0022072D" w:rsidRPr="005D59F0">
        <w:t xml:space="preserve">. </w:t>
      </w:r>
      <w:r w:rsidR="00DE113A" w:rsidRPr="005D59F0">
        <w:t xml:space="preserve">The patient engagement lead will </w:t>
      </w:r>
      <w:r w:rsidR="009D6F61" w:rsidRPr="005D59F0">
        <w:t>ensure th</w:t>
      </w:r>
      <w:r w:rsidR="00BC49A4" w:rsidRPr="005D59F0">
        <w:t xml:space="preserve">e patient and/or their family/carer is kept informed of the progress </w:t>
      </w:r>
      <w:r w:rsidR="009D6F61" w:rsidRPr="005D59F0">
        <w:t xml:space="preserve">with investigation timelines and ensure that any concerns </w:t>
      </w:r>
      <w:r w:rsidR="00BC49A4" w:rsidRPr="005D59F0">
        <w:t xml:space="preserve">identified </w:t>
      </w:r>
      <w:r w:rsidR="009D6F61" w:rsidRPr="005D59F0">
        <w:t xml:space="preserve">are addressed. </w:t>
      </w:r>
      <w:r w:rsidR="00BC49A4" w:rsidRPr="005D59F0">
        <w:t xml:space="preserve"> </w:t>
      </w:r>
      <w:r w:rsidR="00686290" w:rsidRPr="005D59F0">
        <w:t>For a</w:t>
      </w:r>
      <w:r w:rsidR="00626223" w:rsidRPr="005D59F0">
        <w:t xml:space="preserve">ll engagement with patients </w:t>
      </w:r>
      <w:r w:rsidR="00317127" w:rsidRPr="005D59F0">
        <w:t xml:space="preserve">and/or their family/carer </w:t>
      </w:r>
      <w:r w:rsidR="00686290" w:rsidRPr="005D59F0">
        <w:t>Spire Healthcare will adopt the NHS England four steps of engagement</w:t>
      </w:r>
      <w:r w:rsidR="00260C37" w:rsidRPr="005D59F0">
        <w:t>, of which training has been provided</w:t>
      </w:r>
      <w:r w:rsidR="00686290" w:rsidRPr="005D59F0">
        <w:t>.</w:t>
      </w:r>
    </w:p>
    <w:p w14:paraId="230A532C" w14:textId="77777777" w:rsidR="004B3C05" w:rsidRDefault="004B3C05" w:rsidP="004B3C05">
      <w:pPr>
        <w:pStyle w:val="ListParagraph"/>
      </w:pPr>
    </w:p>
    <w:p w14:paraId="514C8DBA" w14:textId="43CDCA22" w:rsidR="00686290" w:rsidRDefault="00686290" w:rsidP="00686290">
      <w:pPr>
        <w:pStyle w:val="Heading2"/>
        <w:numPr>
          <w:ilvl w:val="0"/>
          <w:numId w:val="0"/>
        </w:numPr>
        <w:spacing w:after="0"/>
        <w:ind w:left="762"/>
        <w:jc w:val="center"/>
      </w:pPr>
      <w:r w:rsidRPr="000E4047">
        <w:rPr>
          <w:noProof/>
          <w:highlight w:val="lightGray"/>
        </w:rPr>
        <w:drawing>
          <wp:inline distT="0" distB="0" distL="0" distR="0" wp14:anchorId="48D06340" wp14:editId="66F19179">
            <wp:extent cx="5892342" cy="3609975"/>
            <wp:effectExtent l="0" t="0" r="0" b="0"/>
            <wp:docPr id="72835683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356833" name="Picture 1" descr="A screenshot of a computer&#10;&#10;Description automatically generated"/>
                    <pic:cNvPicPr/>
                  </pic:nvPicPr>
                  <pic:blipFill rotWithShape="1">
                    <a:blip r:embed="rId26"/>
                    <a:srcRect l="25914" t="27217" r="27094" b="22872"/>
                    <a:stretch/>
                  </pic:blipFill>
                  <pic:spPr bwMode="auto">
                    <a:xfrm>
                      <a:off x="0" y="0"/>
                      <a:ext cx="6067470" cy="3717268"/>
                    </a:xfrm>
                    <a:prstGeom prst="rect">
                      <a:avLst/>
                    </a:prstGeom>
                    <a:ln>
                      <a:noFill/>
                    </a:ln>
                    <a:extLst>
                      <a:ext uri="{53640926-AAD7-44D8-BBD7-CCE9431645EC}">
                        <a14:shadowObscured xmlns:a14="http://schemas.microsoft.com/office/drawing/2010/main"/>
                      </a:ext>
                    </a:extLst>
                  </pic:spPr>
                </pic:pic>
              </a:graphicData>
            </a:graphic>
          </wp:inline>
        </w:drawing>
      </w:r>
    </w:p>
    <w:p w14:paraId="67BDAC23" w14:textId="77777777" w:rsidR="00686290" w:rsidRDefault="00686290" w:rsidP="00686290">
      <w:pPr>
        <w:pStyle w:val="ListParagraph"/>
      </w:pPr>
    </w:p>
    <w:p w14:paraId="475BF040" w14:textId="3F2D7B78" w:rsidR="00276BAB" w:rsidRPr="005D59F0" w:rsidRDefault="002A02C7" w:rsidP="00E61DD1">
      <w:pPr>
        <w:pStyle w:val="Heading2"/>
        <w:numPr>
          <w:ilvl w:val="1"/>
          <w:numId w:val="9"/>
        </w:numPr>
        <w:spacing w:after="0"/>
        <w:jc w:val="both"/>
      </w:pPr>
      <w:r w:rsidRPr="005D59F0">
        <w:lastRenderedPageBreak/>
        <w:t>Colleagues</w:t>
      </w:r>
      <w:r w:rsidR="00F270F1" w:rsidRPr="005D59F0">
        <w:t xml:space="preserve"> and Consultant partners</w:t>
      </w:r>
      <w:r w:rsidRPr="005D59F0">
        <w:t xml:space="preserve"> </w:t>
      </w:r>
      <w:r w:rsidR="00EE1DC1" w:rsidRPr="005D59F0">
        <w:t xml:space="preserve">impacted by a patient safety incident </w:t>
      </w:r>
      <w:r w:rsidR="00686290" w:rsidRPr="005D59F0">
        <w:t xml:space="preserve">will </w:t>
      </w:r>
      <w:r w:rsidR="00EE1DC1" w:rsidRPr="005D59F0">
        <w:t>be supported by the</w:t>
      </w:r>
      <w:r w:rsidR="004E5345" w:rsidRPr="005D59F0">
        <w:t xml:space="preserve"> hospital and central management teams and </w:t>
      </w:r>
      <w:r w:rsidR="00260C37" w:rsidRPr="005D59F0">
        <w:t>in line with our Just Culture and psychological safety processes</w:t>
      </w:r>
      <w:r w:rsidR="00CF6412" w:rsidRPr="005D59F0">
        <w:t>. In addition to this Spire Healthcare offer</w:t>
      </w:r>
      <w:r w:rsidR="00686290" w:rsidRPr="005D59F0">
        <w:t>s</w:t>
      </w:r>
      <w:r w:rsidR="00CF6412" w:rsidRPr="005D59F0">
        <w:t xml:space="preserve"> a colleague support service which can be utilised by all </w:t>
      </w:r>
      <w:r w:rsidRPr="005D59F0">
        <w:t>colleagues</w:t>
      </w:r>
      <w:r w:rsidR="00CF6412" w:rsidRPr="005D59F0">
        <w:t>. Support is available 24/7 365 days a year which includes professional counselling.</w:t>
      </w:r>
    </w:p>
    <w:p w14:paraId="18216618" w14:textId="77777777" w:rsidR="00D95289" w:rsidRDefault="00D95289" w:rsidP="00E61DD1">
      <w:pPr>
        <w:pStyle w:val="Heading2"/>
        <w:numPr>
          <w:ilvl w:val="0"/>
          <w:numId w:val="0"/>
        </w:numPr>
        <w:spacing w:after="0"/>
        <w:ind w:left="762" w:hanging="567"/>
      </w:pPr>
    </w:p>
    <w:p w14:paraId="32E27664" w14:textId="77777777" w:rsidR="009B09C3" w:rsidRPr="004B3C05" w:rsidRDefault="009B09C3" w:rsidP="00E61DD1">
      <w:pPr>
        <w:pStyle w:val="Heading1"/>
        <w:rPr>
          <w:caps w:val="0"/>
          <w:color w:val="008385"/>
        </w:rPr>
      </w:pPr>
      <w:bookmarkStart w:id="15" w:name="_Toc159429854"/>
      <w:r w:rsidRPr="004B3C05">
        <w:rPr>
          <w:caps w:val="0"/>
          <w:color w:val="008385"/>
        </w:rPr>
        <w:t>PATIENT SAFETY INCIDENT RESPONSE PLANNING</w:t>
      </w:r>
      <w:bookmarkEnd w:id="15"/>
    </w:p>
    <w:p w14:paraId="78757655" w14:textId="77777777" w:rsidR="00F17E5F" w:rsidRDefault="00F17E5F" w:rsidP="00E61DD1">
      <w:pPr>
        <w:pStyle w:val="Heading1"/>
        <w:numPr>
          <w:ilvl w:val="0"/>
          <w:numId w:val="0"/>
        </w:numPr>
        <w:ind w:left="762"/>
      </w:pPr>
    </w:p>
    <w:p w14:paraId="528847B3" w14:textId="77777777" w:rsidR="0074721C" w:rsidRDefault="0074721C" w:rsidP="00E61DD1">
      <w:pPr>
        <w:pStyle w:val="Heading2"/>
        <w:numPr>
          <w:ilvl w:val="1"/>
          <w:numId w:val="11"/>
        </w:numPr>
        <w:spacing w:after="0"/>
        <w:jc w:val="both"/>
      </w:pPr>
      <w:r>
        <w:t>PSIRF supports organisations to respond to incidents and safety issues in a way that maximises learning and improvement, rather than basing responses on arbitrary and subjective definitions of harm. Beyond nationally set requirements, organisations can explore patient safety incidents relevant to their context and the populations they serve rather than only those that meet a certain defined threshold.</w:t>
      </w:r>
    </w:p>
    <w:p w14:paraId="53E9DC5F" w14:textId="77777777" w:rsidR="00C423F2" w:rsidRDefault="00C423F2" w:rsidP="00C423F2">
      <w:pPr>
        <w:pStyle w:val="Heading2"/>
        <w:numPr>
          <w:ilvl w:val="0"/>
          <w:numId w:val="0"/>
        </w:numPr>
        <w:spacing w:after="0"/>
        <w:ind w:left="762"/>
        <w:jc w:val="both"/>
      </w:pPr>
    </w:p>
    <w:p w14:paraId="51338FFE" w14:textId="4683E322" w:rsidR="0074721C" w:rsidRDefault="0074721C" w:rsidP="00E61DD1">
      <w:pPr>
        <w:pStyle w:val="Heading2"/>
        <w:spacing w:after="0"/>
        <w:jc w:val="both"/>
      </w:pPr>
      <w:r>
        <w:t>As per the ethos of PSIRF</w:t>
      </w:r>
      <w:r w:rsidR="00F17E5F">
        <w:t>,</w:t>
      </w:r>
      <w:r>
        <w:t xml:space="preserve"> Spire Healthcare will ensure that we take a proportionate approach in our </w:t>
      </w:r>
      <w:r w:rsidR="0090210B">
        <w:t>incident response</w:t>
      </w:r>
      <w:r w:rsidR="00A060DD">
        <w:t xml:space="preserve">s </w:t>
      </w:r>
      <w:r>
        <w:t xml:space="preserve">to solidify our commitment to improving our services for patients. </w:t>
      </w:r>
    </w:p>
    <w:p w14:paraId="25C9592E" w14:textId="77777777" w:rsidR="00C423F2" w:rsidRDefault="00C423F2" w:rsidP="00C423F2">
      <w:pPr>
        <w:pStyle w:val="Heading2"/>
        <w:numPr>
          <w:ilvl w:val="0"/>
          <w:numId w:val="0"/>
        </w:numPr>
        <w:spacing w:after="0"/>
        <w:ind w:left="762"/>
        <w:jc w:val="both"/>
      </w:pPr>
    </w:p>
    <w:p w14:paraId="4227E7AD" w14:textId="283B6709" w:rsidR="0074721C" w:rsidRDefault="0074721C" w:rsidP="00E61DD1">
      <w:pPr>
        <w:pStyle w:val="Heading2"/>
        <w:spacing w:after="0"/>
        <w:jc w:val="both"/>
      </w:pPr>
      <w:r>
        <w:t xml:space="preserve">Our PSIRF planning has quality </w:t>
      </w:r>
      <w:r w:rsidR="00E05AC5">
        <w:t xml:space="preserve">improvement central and front of </w:t>
      </w:r>
      <w:r>
        <w:t>mind throughout</w:t>
      </w:r>
      <w:r w:rsidR="00E05AC5">
        <w:t xml:space="preserve"> its development</w:t>
      </w:r>
      <w:r>
        <w:t xml:space="preserve">. As a </w:t>
      </w:r>
      <w:r w:rsidR="00E05AC5">
        <w:t>result,</w:t>
      </w:r>
      <w:r>
        <w:t xml:space="preserve"> there is a direct correlation between our PSIRF plan and our quality improvement agenda. </w:t>
      </w:r>
      <w:r w:rsidR="00E05AC5">
        <w:t>It is our firm intention to maintain</w:t>
      </w:r>
      <w:r w:rsidR="00824A4E">
        <w:t xml:space="preserve"> and build </w:t>
      </w:r>
      <w:r w:rsidR="00E8673D">
        <w:t>on this</w:t>
      </w:r>
      <w:r w:rsidR="00E05AC5">
        <w:t xml:space="preserve"> link</w:t>
      </w:r>
      <w:r>
        <w:t xml:space="preserve">. </w:t>
      </w:r>
    </w:p>
    <w:p w14:paraId="1808DD00" w14:textId="77777777" w:rsidR="00C423F2" w:rsidRDefault="00C423F2" w:rsidP="00C423F2">
      <w:pPr>
        <w:pStyle w:val="Heading2"/>
        <w:numPr>
          <w:ilvl w:val="0"/>
          <w:numId w:val="0"/>
        </w:numPr>
        <w:spacing w:after="0"/>
        <w:jc w:val="both"/>
      </w:pPr>
    </w:p>
    <w:p w14:paraId="0FEFC0FA" w14:textId="400A7E7C" w:rsidR="0074721C" w:rsidRDefault="00E05AC5" w:rsidP="00E61DD1">
      <w:pPr>
        <w:pStyle w:val="Heading2"/>
        <w:spacing w:after="0"/>
        <w:jc w:val="both"/>
      </w:pPr>
      <w:r>
        <w:t>Additionally,</w:t>
      </w:r>
      <w:r w:rsidR="0074721C">
        <w:t xml:space="preserve"> we will continue to review safety activity information from a range of sources to ensure that we are focusing on </w:t>
      </w:r>
      <w:r w:rsidR="003C5350">
        <w:t>appropriate</w:t>
      </w:r>
      <w:r w:rsidR="0074721C">
        <w:t xml:space="preserve"> areas</w:t>
      </w:r>
      <w:r w:rsidR="00F555C4">
        <w:t xml:space="preserve"> (</w:t>
      </w:r>
      <w:r w:rsidR="00F555C4" w:rsidRPr="00080301">
        <w:t>A</w:t>
      </w:r>
      <w:r w:rsidR="00080301">
        <w:t xml:space="preserve">ppendix </w:t>
      </w:r>
      <w:r w:rsidR="00F555C4" w:rsidRPr="00080301">
        <w:t>1</w:t>
      </w:r>
      <w:r w:rsidR="00F555C4">
        <w:t>)</w:t>
      </w:r>
      <w:r w:rsidR="0074721C">
        <w:t>. This will continue the work that went into establishing our patient safety profile</w:t>
      </w:r>
      <w:r w:rsidR="003C5350">
        <w:t xml:space="preserve"> and plan</w:t>
      </w:r>
      <w:r w:rsidR="0074721C">
        <w:t xml:space="preserve">. </w:t>
      </w:r>
    </w:p>
    <w:p w14:paraId="68DD7D4E" w14:textId="77777777" w:rsidR="00C423F2" w:rsidRDefault="00C423F2" w:rsidP="00C423F2">
      <w:pPr>
        <w:pStyle w:val="Heading2"/>
        <w:numPr>
          <w:ilvl w:val="0"/>
          <w:numId w:val="0"/>
        </w:numPr>
        <w:spacing w:after="0"/>
        <w:jc w:val="both"/>
      </w:pPr>
    </w:p>
    <w:p w14:paraId="3736EEC6" w14:textId="39421348" w:rsidR="009B09C3" w:rsidRDefault="0074721C" w:rsidP="00E61DD1">
      <w:pPr>
        <w:pStyle w:val="Heading2"/>
        <w:spacing w:after="0"/>
        <w:jc w:val="both"/>
      </w:pPr>
      <w:r>
        <w:t>National</w:t>
      </w:r>
      <w:r w:rsidR="007431B2">
        <w:t xml:space="preserve"> (as defined by the NHS)</w:t>
      </w:r>
      <w:r>
        <w:t xml:space="preserve"> and group</w:t>
      </w:r>
      <w:r w:rsidR="007431B2">
        <w:t xml:space="preserve"> (Spire)</w:t>
      </w:r>
      <w:r>
        <w:t xml:space="preserve"> priorities are contained within the PSIRF Plan and will be updated annually. Thes</w:t>
      </w:r>
      <w:r w:rsidR="00F100EB">
        <w:t>e</w:t>
      </w:r>
      <w:r>
        <w:t xml:space="preserve"> priorities will have a clearly defined </w:t>
      </w:r>
      <w:r w:rsidR="0090210B">
        <w:t>incident response</w:t>
      </w:r>
      <w:r>
        <w:t xml:space="preserve"> type</w:t>
      </w:r>
      <w:r w:rsidR="004B10A9">
        <w:t xml:space="preserve"> including:</w:t>
      </w:r>
    </w:p>
    <w:p w14:paraId="0FDB024B" w14:textId="05664F2C" w:rsidR="0045059C" w:rsidRPr="00A12861" w:rsidRDefault="0045059C" w:rsidP="00AB2AC6">
      <w:pPr>
        <w:widowControl w:val="0"/>
        <w:numPr>
          <w:ilvl w:val="0"/>
          <w:numId w:val="16"/>
        </w:numPr>
        <w:autoSpaceDE w:val="0"/>
        <w:autoSpaceDN w:val="0"/>
        <w:spacing w:before="9" w:after="0" w:line="240" w:lineRule="auto"/>
        <w:jc w:val="both"/>
        <w:rPr>
          <w:rFonts w:asciiTheme="majorHAnsi" w:eastAsia="Calibri" w:hAnsiTheme="majorHAnsi" w:cstheme="majorHAnsi"/>
          <w:szCs w:val="24"/>
        </w:rPr>
      </w:pPr>
      <w:r w:rsidRPr="00A12861">
        <w:rPr>
          <w:rFonts w:asciiTheme="majorHAnsi" w:eastAsia="Calibri" w:hAnsiTheme="majorHAnsi" w:cstheme="majorHAnsi"/>
          <w:szCs w:val="24"/>
        </w:rPr>
        <w:t>P</w:t>
      </w:r>
      <w:r w:rsidR="00A12861">
        <w:rPr>
          <w:rFonts w:asciiTheme="majorHAnsi" w:eastAsia="Calibri" w:hAnsiTheme="majorHAnsi" w:cstheme="majorHAnsi"/>
          <w:szCs w:val="24"/>
        </w:rPr>
        <w:t xml:space="preserve">atient </w:t>
      </w:r>
      <w:r w:rsidR="005E1B3D">
        <w:rPr>
          <w:rFonts w:asciiTheme="majorHAnsi" w:eastAsia="Calibri" w:hAnsiTheme="majorHAnsi" w:cstheme="majorHAnsi"/>
          <w:szCs w:val="24"/>
        </w:rPr>
        <w:t>Safety</w:t>
      </w:r>
      <w:r w:rsidR="00A12861">
        <w:rPr>
          <w:rFonts w:asciiTheme="majorHAnsi" w:eastAsia="Calibri" w:hAnsiTheme="majorHAnsi" w:cstheme="majorHAnsi"/>
          <w:szCs w:val="24"/>
        </w:rPr>
        <w:t xml:space="preserve"> Incident Investigation – NHS England </w:t>
      </w:r>
    </w:p>
    <w:p w14:paraId="65146FA3" w14:textId="4B3D7E63" w:rsidR="004B10A9" w:rsidRPr="00A12861" w:rsidRDefault="0034538A" w:rsidP="00AB2AC6">
      <w:pPr>
        <w:widowControl w:val="0"/>
        <w:numPr>
          <w:ilvl w:val="0"/>
          <w:numId w:val="16"/>
        </w:numPr>
        <w:autoSpaceDE w:val="0"/>
        <w:autoSpaceDN w:val="0"/>
        <w:spacing w:before="9" w:after="0" w:line="240" w:lineRule="auto"/>
        <w:jc w:val="both"/>
        <w:rPr>
          <w:rFonts w:asciiTheme="majorHAnsi" w:eastAsia="Calibri" w:hAnsiTheme="majorHAnsi" w:cstheme="majorHAnsi"/>
          <w:szCs w:val="24"/>
        </w:rPr>
      </w:pPr>
      <w:hyperlink r:id="rId27">
        <w:r w:rsidR="004B10A9" w:rsidRPr="00A12861">
          <w:rPr>
            <w:rFonts w:asciiTheme="majorHAnsi" w:eastAsia="Calibri" w:hAnsiTheme="majorHAnsi" w:cstheme="majorHAnsi"/>
            <w:szCs w:val="24"/>
          </w:rPr>
          <w:t>Swarm huddle</w:t>
        </w:r>
      </w:hyperlink>
      <w:r w:rsidR="005E1B3D">
        <w:rPr>
          <w:rFonts w:asciiTheme="majorHAnsi" w:eastAsia="Calibri" w:hAnsiTheme="majorHAnsi" w:cstheme="majorHAnsi"/>
          <w:szCs w:val="24"/>
        </w:rPr>
        <w:t xml:space="preserve">- NHS England </w:t>
      </w:r>
    </w:p>
    <w:p w14:paraId="12E0E2C8" w14:textId="77777777" w:rsidR="00344153" w:rsidRDefault="004B10A9" w:rsidP="00344153">
      <w:pPr>
        <w:widowControl w:val="0"/>
        <w:numPr>
          <w:ilvl w:val="0"/>
          <w:numId w:val="16"/>
        </w:numPr>
        <w:autoSpaceDE w:val="0"/>
        <w:autoSpaceDN w:val="0"/>
        <w:spacing w:before="9" w:after="0" w:line="240" w:lineRule="auto"/>
        <w:jc w:val="both"/>
        <w:rPr>
          <w:rFonts w:asciiTheme="majorHAnsi" w:eastAsia="Calibri" w:hAnsiTheme="majorHAnsi" w:cstheme="majorHAnsi"/>
          <w:szCs w:val="24"/>
        </w:rPr>
      </w:pPr>
      <w:r w:rsidRPr="00E92AF3">
        <w:rPr>
          <w:rFonts w:asciiTheme="majorHAnsi" w:eastAsia="Calibri" w:hAnsiTheme="majorHAnsi" w:cstheme="majorHAnsi"/>
          <w:szCs w:val="24"/>
        </w:rPr>
        <w:t>After action Review</w:t>
      </w:r>
      <w:r w:rsidR="00E92AF3">
        <w:rPr>
          <w:rFonts w:asciiTheme="majorHAnsi" w:eastAsia="Calibri" w:hAnsiTheme="majorHAnsi" w:cstheme="majorHAnsi"/>
          <w:szCs w:val="24"/>
        </w:rPr>
        <w:t xml:space="preserve"> – NHS England </w:t>
      </w:r>
    </w:p>
    <w:p w14:paraId="48BF479B" w14:textId="75352532" w:rsidR="004B10A9" w:rsidRPr="00344153" w:rsidRDefault="0034538A" w:rsidP="00344153">
      <w:pPr>
        <w:widowControl w:val="0"/>
        <w:numPr>
          <w:ilvl w:val="0"/>
          <w:numId w:val="16"/>
        </w:numPr>
        <w:autoSpaceDE w:val="0"/>
        <w:autoSpaceDN w:val="0"/>
        <w:spacing w:before="9" w:after="0" w:line="240" w:lineRule="auto"/>
        <w:jc w:val="both"/>
        <w:rPr>
          <w:rFonts w:asciiTheme="majorHAnsi" w:eastAsia="Calibri" w:hAnsiTheme="majorHAnsi" w:cstheme="majorHAnsi"/>
          <w:szCs w:val="24"/>
        </w:rPr>
      </w:pPr>
      <w:hyperlink r:id="rId28" w:history="1">
        <w:r w:rsidR="004B10A9" w:rsidRPr="00344153">
          <w:rPr>
            <w:rFonts w:asciiTheme="majorHAnsi" w:eastAsia="Calibri" w:hAnsiTheme="majorHAnsi" w:cstheme="majorHAnsi"/>
            <w:szCs w:val="24"/>
          </w:rPr>
          <w:t>Round table</w:t>
        </w:r>
      </w:hyperlink>
      <w:r w:rsidR="004B10A9" w:rsidRPr="00344153">
        <w:rPr>
          <w:rFonts w:asciiTheme="majorHAnsi" w:eastAsia="Calibri" w:hAnsiTheme="majorHAnsi" w:cstheme="majorHAnsi"/>
          <w:szCs w:val="24"/>
        </w:rPr>
        <w:t xml:space="preserve"> (MDT Meeting in NHS England PSIRF </w:t>
      </w:r>
      <w:r w:rsidR="00525515" w:rsidRPr="00344153">
        <w:rPr>
          <w:rFonts w:asciiTheme="majorHAnsi" w:eastAsia="Calibri" w:hAnsiTheme="majorHAnsi" w:cstheme="majorHAnsi"/>
          <w:szCs w:val="24"/>
        </w:rPr>
        <w:t>Framework) (</w:t>
      </w:r>
      <w:r w:rsidR="00B52D5F" w:rsidRPr="00344153">
        <w:rPr>
          <w:rFonts w:asciiTheme="majorHAnsi" w:eastAsia="Calibri" w:hAnsiTheme="majorHAnsi" w:cstheme="majorHAnsi"/>
          <w:szCs w:val="24"/>
        </w:rPr>
        <w:t>and within Spire Health care is used in our Key Safety Indicator Reviews)</w:t>
      </w:r>
      <w:r w:rsidR="00B52D5F" w:rsidRPr="00344153">
        <w:rPr>
          <w:rFonts w:ascii="Calibri" w:eastAsia="Calibri" w:hAnsi="Calibri" w:cs="Calibri"/>
          <w:color w:val="0000FF"/>
          <w:u w:val="single"/>
          <w:lang w:val="en-US"/>
        </w:rPr>
        <w:t xml:space="preserve"> </w:t>
      </w:r>
    </w:p>
    <w:p w14:paraId="3C6D6F0D" w14:textId="77777777" w:rsidR="00AB2AC6" w:rsidRPr="009E2BD9" w:rsidRDefault="00AB2AC6" w:rsidP="00E61DD1">
      <w:pPr>
        <w:widowControl w:val="0"/>
        <w:autoSpaceDE w:val="0"/>
        <w:autoSpaceDN w:val="0"/>
        <w:spacing w:before="9" w:after="0" w:line="240" w:lineRule="auto"/>
        <w:ind w:left="1800"/>
        <w:jc w:val="both"/>
        <w:rPr>
          <w:rFonts w:ascii="Calibri" w:eastAsia="Calibri" w:hAnsi="Calibri" w:cs="Calibri"/>
          <w:lang w:val="en-US"/>
        </w:rPr>
      </w:pPr>
    </w:p>
    <w:p w14:paraId="177F9201" w14:textId="77777777" w:rsidR="00CD42CF" w:rsidRPr="004B3C05" w:rsidRDefault="00CD42CF" w:rsidP="00E61DD1">
      <w:pPr>
        <w:pStyle w:val="Heading1"/>
        <w:rPr>
          <w:caps w:val="0"/>
          <w:color w:val="008385"/>
        </w:rPr>
      </w:pPr>
      <w:bookmarkStart w:id="16" w:name="_Toc159429855"/>
      <w:r w:rsidRPr="004B3C05">
        <w:rPr>
          <w:caps w:val="0"/>
          <w:color w:val="008385"/>
        </w:rPr>
        <w:t>RESOURCES AND TRAINING TO SUPPORT PATIENT SAFETY INCIDENT RESPONSE</w:t>
      </w:r>
      <w:bookmarkEnd w:id="16"/>
    </w:p>
    <w:p w14:paraId="0506ECD6" w14:textId="77777777" w:rsidR="00047B13" w:rsidRDefault="00047B13" w:rsidP="00E61DD1">
      <w:pPr>
        <w:pStyle w:val="Heading1"/>
        <w:numPr>
          <w:ilvl w:val="0"/>
          <w:numId w:val="0"/>
        </w:numPr>
        <w:ind w:left="195"/>
      </w:pPr>
    </w:p>
    <w:p w14:paraId="25A7404A" w14:textId="599F533D" w:rsidR="00CD42CF" w:rsidRDefault="00CD42CF" w:rsidP="00E61DD1">
      <w:pPr>
        <w:pStyle w:val="Heading2"/>
        <w:numPr>
          <w:ilvl w:val="1"/>
          <w:numId w:val="12"/>
        </w:numPr>
        <w:spacing w:after="0"/>
        <w:jc w:val="both"/>
      </w:pPr>
      <w:r>
        <w:t xml:space="preserve">Spire Healthcare have undertaken an extensive training programme to ensure that our </w:t>
      </w:r>
      <w:r w:rsidR="00E05AC5">
        <w:t xml:space="preserve">colleagues </w:t>
      </w:r>
      <w:r>
        <w:t xml:space="preserve">are fully trained ahead of the implementation of PSIRF. This training programme was designed using the NHS England patient safety response standards which details the training and competencies </w:t>
      </w:r>
      <w:r w:rsidR="00E05AC5">
        <w:t xml:space="preserve">colleagues </w:t>
      </w:r>
      <w:r>
        <w:t xml:space="preserve">require when undertaking patient safety incident </w:t>
      </w:r>
      <w:r w:rsidR="0090210B">
        <w:t>response</w:t>
      </w:r>
      <w:r>
        <w:t>s under PSIRF.</w:t>
      </w:r>
    </w:p>
    <w:p w14:paraId="0CA8857D" w14:textId="77777777" w:rsidR="00C423F2" w:rsidRDefault="00C423F2" w:rsidP="00C423F2">
      <w:pPr>
        <w:pStyle w:val="Heading2"/>
        <w:numPr>
          <w:ilvl w:val="0"/>
          <w:numId w:val="0"/>
        </w:numPr>
        <w:spacing w:after="0"/>
        <w:ind w:left="762"/>
        <w:jc w:val="both"/>
      </w:pPr>
    </w:p>
    <w:p w14:paraId="1C5A264F" w14:textId="5DBE7E89" w:rsidR="00CD42CF" w:rsidRDefault="00CD42CF" w:rsidP="00E61DD1">
      <w:pPr>
        <w:pStyle w:val="Heading2"/>
        <w:numPr>
          <w:ilvl w:val="1"/>
          <w:numId w:val="12"/>
        </w:numPr>
        <w:spacing w:after="0"/>
        <w:jc w:val="both"/>
      </w:pPr>
      <w:r>
        <w:t xml:space="preserve">The organisation designed its training programme to fully comply with NHS England guidance with the following sessions </w:t>
      </w:r>
      <w:r w:rsidR="00235B96">
        <w:t xml:space="preserve">delivered </w:t>
      </w:r>
      <w:r>
        <w:t>throughout 2023:</w:t>
      </w:r>
    </w:p>
    <w:p w14:paraId="45B55F04" w14:textId="77777777" w:rsidR="00E12D24" w:rsidRDefault="00E12D24" w:rsidP="00E12D24">
      <w:pPr>
        <w:pStyle w:val="Heading2"/>
        <w:numPr>
          <w:ilvl w:val="0"/>
          <w:numId w:val="0"/>
        </w:numPr>
        <w:spacing w:after="0"/>
        <w:jc w:val="both"/>
      </w:pPr>
    </w:p>
    <w:p w14:paraId="497C6CDB" w14:textId="4AE5F5E8" w:rsidR="00CD42CF" w:rsidRDefault="00CD42CF" w:rsidP="00E61DD1">
      <w:pPr>
        <w:pStyle w:val="Heading2"/>
        <w:numPr>
          <w:ilvl w:val="2"/>
          <w:numId w:val="13"/>
        </w:numPr>
        <w:spacing w:after="0"/>
        <w:jc w:val="both"/>
      </w:pPr>
      <w:r>
        <w:t xml:space="preserve">Systems Approach to </w:t>
      </w:r>
      <w:r w:rsidR="00A060DD">
        <w:t xml:space="preserve">learning from patient safety incidents </w:t>
      </w:r>
      <w:r>
        <w:t>(2 days)</w:t>
      </w:r>
    </w:p>
    <w:p w14:paraId="4568E453" w14:textId="77777777" w:rsidR="00CD42CF" w:rsidRDefault="00CD42CF" w:rsidP="00E61DD1">
      <w:pPr>
        <w:pStyle w:val="Heading2"/>
        <w:numPr>
          <w:ilvl w:val="2"/>
          <w:numId w:val="13"/>
        </w:numPr>
        <w:spacing w:after="0"/>
        <w:jc w:val="both"/>
      </w:pPr>
      <w:r>
        <w:t>Oversight of Learning (1 day)</w:t>
      </w:r>
    </w:p>
    <w:p w14:paraId="640C2B07" w14:textId="77777777" w:rsidR="00CD42CF" w:rsidRDefault="00CD42CF" w:rsidP="00E61DD1">
      <w:pPr>
        <w:pStyle w:val="Heading2"/>
        <w:numPr>
          <w:ilvl w:val="2"/>
          <w:numId w:val="13"/>
        </w:numPr>
        <w:spacing w:after="0"/>
        <w:jc w:val="both"/>
      </w:pPr>
      <w:r>
        <w:t>Patient Engagement (1 day)</w:t>
      </w:r>
    </w:p>
    <w:p w14:paraId="2BE19F7A" w14:textId="41DB9471" w:rsidR="00CD42CF" w:rsidRDefault="00CD42CF" w:rsidP="00E61DD1">
      <w:pPr>
        <w:pStyle w:val="Heading2"/>
        <w:numPr>
          <w:ilvl w:val="2"/>
          <w:numId w:val="13"/>
        </w:numPr>
        <w:spacing w:after="0"/>
        <w:jc w:val="both"/>
      </w:pPr>
      <w:r>
        <w:t>Senior Management Team (SMT) Awareness Sessions (2 hours)</w:t>
      </w:r>
    </w:p>
    <w:p w14:paraId="35161D26" w14:textId="77777777" w:rsidR="00C423F2" w:rsidRDefault="00C423F2" w:rsidP="00C423F2">
      <w:pPr>
        <w:pStyle w:val="Heading2"/>
        <w:numPr>
          <w:ilvl w:val="0"/>
          <w:numId w:val="0"/>
        </w:numPr>
        <w:spacing w:after="0"/>
        <w:ind w:left="916"/>
        <w:jc w:val="both"/>
      </w:pPr>
    </w:p>
    <w:p w14:paraId="71DAA999" w14:textId="14675079" w:rsidR="00CD42CF" w:rsidRDefault="00CD42CF" w:rsidP="00E61DD1">
      <w:pPr>
        <w:pStyle w:val="Heading2"/>
        <w:numPr>
          <w:ilvl w:val="1"/>
          <w:numId w:val="12"/>
        </w:numPr>
        <w:spacing w:after="0"/>
        <w:jc w:val="both"/>
      </w:pPr>
      <w:r>
        <w:t xml:space="preserve">The training sessions were delivered by an approved NHS England PSIRF training company (Facere Melius). Great efforts were made to ensure that the training was bespoke to Spire Healthcare. It was very important to make sure that the training recognised that PSIRF in the independent sector was different to the acute NHS sector. The training recognised these differences and was adjusted to maintain </w:t>
      </w:r>
      <w:r w:rsidR="00625D41">
        <w:t>its</w:t>
      </w:r>
      <w:r>
        <w:t xml:space="preserve"> effectiveness. </w:t>
      </w:r>
    </w:p>
    <w:p w14:paraId="1FC999C9" w14:textId="045CB28A" w:rsidR="00ED7517" w:rsidRDefault="00E42162" w:rsidP="00E61DD1">
      <w:pPr>
        <w:pStyle w:val="Heading2"/>
        <w:numPr>
          <w:ilvl w:val="0"/>
          <w:numId w:val="0"/>
        </w:numPr>
        <w:spacing w:after="0"/>
        <w:ind w:left="762"/>
        <w:jc w:val="both"/>
      </w:pPr>
      <w:r>
        <w:t xml:space="preserve">Spire Healthcare has developed a training programme for 2024 to further develop </w:t>
      </w:r>
      <w:r w:rsidR="00ED7517">
        <w:t>a</w:t>
      </w:r>
      <w:r>
        <w:t xml:space="preserve">nd support the </w:t>
      </w:r>
      <w:r w:rsidR="00ED7517">
        <w:t>i</w:t>
      </w:r>
      <w:r>
        <w:t xml:space="preserve">mplementation of PSIRF across the Group. </w:t>
      </w:r>
      <w:r w:rsidR="00EB7997">
        <w:t xml:space="preserve">The </w:t>
      </w:r>
      <w:r w:rsidR="007431B2">
        <w:t xml:space="preserve">training </w:t>
      </w:r>
      <w:r w:rsidR="00EB7997">
        <w:t xml:space="preserve">will </w:t>
      </w:r>
      <w:r w:rsidR="007431B2">
        <w:t xml:space="preserve">maintain </w:t>
      </w:r>
      <w:r w:rsidR="00EB7997">
        <w:t xml:space="preserve">the </w:t>
      </w:r>
      <w:r w:rsidR="007431B2">
        <w:t xml:space="preserve">required levels of competency </w:t>
      </w:r>
      <w:r w:rsidR="00EB7997">
        <w:t xml:space="preserve">for existing </w:t>
      </w:r>
      <w:r w:rsidR="00DA16CC">
        <w:t>colleagues</w:t>
      </w:r>
      <w:r w:rsidR="00EB7997">
        <w:t xml:space="preserve"> </w:t>
      </w:r>
      <w:r w:rsidR="007431B2">
        <w:t xml:space="preserve">and </w:t>
      </w:r>
      <w:r w:rsidR="00DA16CC">
        <w:t xml:space="preserve">development </w:t>
      </w:r>
      <w:r w:rsidR="007431B2">
        <w:t>for new colleagues</w:t>
      </w:r>
      <w:r w:rsidR="00DA16CC">
        <w:t>.</w:t>
      </w:r>
      <w:r w:rsidR="00C3326D">
        <w:t xml:space="preserve"> </w:t>
      </w:r>
    </w:p>
    <w:p w14:paraId="68312F25" w14:textId="77777777" w:rsidR="00D95289" w:rsidRDefault="00D95289" w:rsidP="00C72EAE">
      <w:pPr>
        <w:pStyle w:val="Heading2"/>
        <w:numPr>
          <w:ilvl w:val="0"/>
          <w:numId w:val="0"/>
        </w:numPr>
        <w:spacing w:after="0"/>
        <w:jc w:val="both"/>
      </w:pPr>
    </w:p>
    <w:p w14:paraId="4F26B0CC" w14:textId="68C9867D" w:rsidR="00CD42CF" w:rsidRPr="004B3C05" w:rsidRDefault="004B3C05" w:rsidP="00AB2AC6">
      <w:pPr>
        <w:pStyle w:val="Heading1"/>
        <w:rPr>
          <w:caps w:val="0"/>
          <w:color w:val="008385"/>
        </w:rPr>
      </w:pPr>
      <w:bookmarkStart w:id="17" w:name="_Toc159429856"/>
      <w:r w:rsidRPr="004B3C05">
        <w:rPr>
          <w:caps w:val="0"/>
          <w:color w:val="008385"/>
        </w:rPr>
        <w:t>PATIENT SAFETY INCIDENT RESPONSE PLAN</w:t>
      </w:r>
      <w:bookmarkEnd w:id="17"/>
    </w:p>
    <w:p w14:paraId="4A5E05E2" w14:textId="77777777" w:rsidR="00CD42CF" w:rsidRDefault="00CD42CF" w:rsidP="00E61DD1">
      <w:pPr>
        <w:pStyle w:val="Heading1"/>
        <w:numPr>
          <w:ilvl w:val="0"/>
          <w:numId w:val="0"/>
        </w:numPr>
        <w:ind w:left="762"/>
      </w:pPr>
    </w:p>
    <w:p w14:paraId="1F5EF1F2" w14:textId="77777777" w:rsidR="00CD42CF" w:rsidRDefault="00CD42CF" w:rsidP="00E61DD1">
      <w:pPr>
        <w:pStyle w:val="Heading2"/>
        <w:spacing w:after="0"/>
        <w:jc w:val="both"/>
      </w:pPr>
      <w:r>
        <w:t>Our plan sets out how Spire Healthcare intends to respond to patient safety incidents over a period of 12 months. The plan is not a permanent set of rules that cannot be changed. We will remain flexible and consider the specific circumstances in which each patient safety incident occurred and the needs of those affected, as well as the plan.</w:t>
      </w:r>
    </w:p>
    <w:p w14:paraId="2DB475C2" w14:textId="77777777" w:rsidR="00C72EAE" w:rsidRDefault="00C72EAE" w:rsidP="00C423F2">
      <w:pPr>
        <w:pStyle w:val="Heading2"/>
        <w:numPr>
          <w:ilvl w:val="0"/>
          <w:numId w:val="0"/>
        </w:numPr>
        <w:spacing w:after="0"/>
        <w:ind w:left="762"/>
        <w:jc w:val="both"/>
      </w:pPr>
    </w:p>
    <w:p w14:paraId="679BCE0F" w14:textId="77777777" w:rsidR="00AB3573" w:rsidRDefault="00AB3573" w:rsidP="00E61DD1">
      <w:pPr>
        <w:pStyle w:val="Heading2"/>
        <w:spacing w:after="0"/>
        <w:jc w:val="both"/>
      </w:pPr>
      <w:r>
        <w:t>National (as defined by the NHS) and group (Spire) priorities are contained within the PSIRF Plan and will be updated annually. These priorities will have a clearly defined incident response type including:</w:t>
      </w:r>
    </w:p>
    <w:p w14:paraId="7937A97D" w14:textId="77777777" w:rsidR="00344153" w:rsidRPr="00A12861" w:rsidRDefault="00344153" w:rsidP="00344153">
      <w:pPr>
        <w:widowControl w:val="0"/>
        <w:numPr>
          <w:ilvl w:val="0"/>
          <w:numId w:val="16"/>
        </w:numPr>
        <w:autoSpaceDE w:val="0"/>
        <w:autoSpaceDN w:val="0"/>
        <w:spacing w:before="9" w:after="0" w:line="240" w:lineRule="auto"/>
        <w:jc w:val="both"/>
        <w:rPr>
          <w:rFonts w:asciiTheme="majorHAnsi" w:eastAsia="Calibri" w:hAnsiTheme="majorHAnsi" w:cstheme="majorHAnsi"/>
          <w:szCs w:val="24"/>
        </w:rPr>
      </w:pPr>
      <w:r w:rsidRPr="00A12861">
        <w:rPr>
          <w:rFonts w:asciiTheme="majorHAnsi" w:eastAsia="Calibri" w:hAnsiTheme="majorHAnsi" w:cstheme="majorHAnsi"/>
          <w:szCs w:val="24"/>
        </w:rPr>
        <w:t>P</w:t>
      </w:r>
      <w:r>
        <w:rPr>
          <w:rFonts w:asciiTheme="majorHAnsi" w:eastAsia="Calibri" w:hAnsiTheme="majorHAnsi" w:cstheme="majorHAnsi"/>
          <w:szCs w:val="24"/>
        </w:rPr>
        <w:t xml:space="preserve">atient Safety Incident Investigation – NHS England </w:t>
      </w:r>
    </w:p>
    <w:p w14:paraId="676E13B9" w14:textId="77777777" w:rsidR="00344153" w:rsidRPr="00A12861" w:rsidRDefault="0034538A" w:rsidP="00344153">
      <w:pPr>
        <w:widowControl w:val="0"/>
        <w:numPr>
          <w:ilvl w:val="0"/>
          <w:numId w:val="16"/>
        </w:numPr>
        <w:autoSpaceDE w:val="0"/>
        <w:autoSpaceDN w:val="0"/>
        <w:spacing w:before="9" w:after="0" w:line="240" w:lineRule="auto"/>
        <w:jc w:val="both"/>
        <w:rPr>
          <w:rFonts w:asciiTheme="majorHAnsi" w:eastAsia="Calibri" w:hAnsiTheme="majorHAnsi" w:cstheme="majorHAnsi"/>
          <w:szCs w:val="24"/>
        </w:rPr>
      </w:pPr>
      <w:hyperlink r:id="rId29">
        <w:r w:rsidR="00344153" w:rsidRPr="00A12861">
          <w:rPr>
            <w:rFonts w:asciiTheme="majorHAnsi" w:eastAsia="Calibri" w:hAnsiTheme="majorHAnsi" w:cstheme="majorHAnsi"/>
            <w:szCs w:val="24"/>
          </w:rPr>
          <w:t>Swarm huddle</w:t>
        </w:r>
      </w:hyperlink>
      <w:r w:rsidR="00344153">
        <w:rPr>
          <w:rFonts w:asciiTheme="majorHAnsi" w:eastAsia="Calibri" w:hAnsiTheme="majorHAnsi" w:cstheme="majorHAnsi"/>
          <w:szCs w:val="24"/>
        </w:rPr>
        <w:t xml:space="preserve">- NHS England </w:t>
      </w:r>
    </w:p>
    <w:p w14:paraId="04F78F08" w14:textId="77777777" w:rsidR="00344153" w:rsidRDefault="00344153" w:rsidP="00344153">
      <w:pPr>
        <w:widowControl w:val="0"/>
        <w:numPr>
          <w:ilvl w:val="0"/>
          <w:numId w:val="16"/>
        </w:numPr>
        <w:autoSpaceDE w:val="0"/>
        <w:autoSpaceDN w:val="0"/>
        <w:spacing w:before="9" w:after="0" w:line="240" w:lineRule="auto"/>
        <w:jc w:val="both"/>
        <w:rPr>
          <w:rFonts w:asciiTheme="majorHAnsi" w:eastAsia="Calibri" w:hAnsiTheme="majorHAnsi" w:cstheme="majorHAnsi"/>
          <w:szCs w:val="24"/>
        </w:rPr>
      </w:pPr>
      <w:r w:rsidRPr="00E92AF3">
        <w:rPr>
          <w:rFonts w:asciiTheme="majorHAnsi" w:eastAsia="Calibri" w:hAnsiTheme="majorHAnsi" w:cstheme="majorHAnsi"/>
          <w:szCs w:val="24"/>
        </w:rPr>
        <w:t>After action Review</w:t>
      </w:r>
      <w:r>
        <w:rPr>
          <w:rFonts w:asciiTheme="majorHAnsi" w:eastAsia="Calibri" w:hAnsiTheme="majorHAnsi" w:cstheme="majorHAnsi"/>
          <w:szCs w:val="24"/>
        </w:rPr>
        <w:t xml:space="preserve"> – NHS England </w:t>
      </w:r>
    </w:p>
    <w:p w14:paraId="2836CBD2" w14:textId="77777777" w:rsidR="00344153" w:rsidRPr="00344153" w:rsidRDefault="0034538A" w:rsidP="00344153">
      <w:pPr>
        <w:widowControl w:val="0"/>
        <w:numPr>
          <w:ilvl w:val="0"/>
          <w:numId w:val="16"/>
        </w:numPr>
        <w:autoSpaceDE w:val="0"/>
        <w:autoSpaceDN w:val="0"/>
        <w:spacing w:before="9" w:after="0" w:line="240" w:lineRule="auto"/>
        <w:jc w:val="both"/>
        <w:rPr>
          <w:rFonts w:asciiTheme="majorHAnsi" w:eastAsia="Calibri" w:hAnsiTheme="majorHAnsi" w:cstheme="majorHAnsi"/>
          <w:szCs w:val="24"/>
        </w:rPr>
      </w:pPr>
      <w:hyperlink r:id="rId30" w:history="1">
        <w:r w:rsidR="00344153" w:rsidRPr="00344153">
          <w:rPr>
            <w:rFonts w:asciiTheme="majorHAnsi" w:eastAsia="Calibri" w:hAnsiTheme="majorHAnsi" w:cstheme="majorHAnsi"/>
            <w:szCs w:val="24"/>
          </w:rPr>
          <w:t>Round table</w:t>
        </w:r>
      </w:hyperlink>
      <w:r w:rsidR="00344153" w:rsidRPr="00344153">
        <w:rPr>
          <w:rFonts w:asciiTheme="majorHAnsi" w:eastAsia="Calibri" w:hAnsiTheme="majorHAnsi" w:cstheme="majorHAnsi"/>
          <w:szCs w:val="24"/>
        </w:rPr>
        <w:t xml:space="preserve"> (MDT Meeting in NHS England PSIRF Framework) (and within Spire Health care is used in our Key Safety Indicator Reviews)</w:t>
      </w:r>
      <w:r w:rsidR="00344153" w:rsidRPr="00344153">
        <w:rPr>
          <w:rFonts w:ascii="Calibri" w:eastAsia="Calibri" w:hAnsi="Calibri" w:cs="Calibri"/>
          <w:color w:val="0000FF"/>
          <w:u w:val="single"/>
          <w:lang w:val="en-US"/>
        </w:rPr>
        <w:t xml:space="preserve"> </w:t>
      </w:r>
    </w:p>
    <w:p w14:paraId="2EC22CAE" w14:textId="77777777" w:rsidR="00AB3573" w:rsidRDefault="00AB3573" w:rsidP="00E61DD1">
      <w:pPr>
        <w:pStyle w:val="Heading2"/>
        <w:numPr>
          <w:ilvl w:val="0"/>
          <w:numId w:val="0"/>
        </w:numPr>
        <w:spacing w:after="0"/>
        <w:ind w:left="762"/>
        <w:jc w:val="both"/>
      </w:pPr>
    </w:p>
    <w:p w14:paraId="195FB813" w14:textId="7F3545AB" w:rsidR="004B10A9" w:rsidRDefault="00CD42CF" w:rsidP="00E61DD1">
      <w:pPr>
        <w:pStyle w:val="Heading2"/>
        <w:spacing w:after="0"/>
        <w:jc w:val="both"/>
      </w:pPr>
      <w:r>
        <w:t xml:space="preserve">Spire Healthcare’s PSIRF plan </w:t>
      </w:r>
      <w:r w:rsidR="00A33D87">
        <w:t xml:space="preserve">(Appendix 1) </w:t>
      </w:r>
      <w:r w:rsidR="004B10A9">
        <w:t>describes how the plan was developed including:</w:t>
      </w:r>
    </w:p>
    <w:p w14:paraId="2FD61B5C" w14:textId="096C9C2B" w:rsidR="004B10A9" w:rsidRDefault="00C42B87" w:rsidP="00E61DD1">
      <w:pPr>
        <w:pStyle w:val="Heading1"/>
        <w:numPr>
          <w:ilvl w:val="0"/>
          <w:numId w:val="10"/>
        </w:numPr>
        <w:rPr>
          <w:b w:val="0"/>
          <w:bCs w:val="0"/>
          <w:caps w:val="0"/>
          <w:sz w:val="22"/>
        </w:rPr>
      </w:pPr>
      <w:bookmarkStart w:id="18" w:name="_Toc147696980"/>
      <w:bookmarkStart w:id="19" w:name="_Toc148650887"/>
      <w:bookmarkStart w:id="20" w:name="_Toc155773693"/>
      <w:bookmarkStart w:id="21" w:name="_Toc159429857"/>
      <w:r>
        <w:rPr>
          <w:b w:val="0"/>
          <w:bCs w:val="0"/>
          <w:caps w:val="0"/>
          <w:sz w:val="22"/>
        </w:rPr>
        <w:t>E</w:t>
      </w:r>
      <w:r w:rsidR="004B10A9" w:rsidRPr="004B10A9">
        <w:rPr>
          <w:b w:val="0"/>
          <w:bCs w:val="0"/>
          <w:caps w:val="0"/>
          <w:sz w:val="22"/>
        </w:rPr>
        <w:t>ngagement with key stakeholders</w:t>
      </w:r>
      <w:bookmarkEnd w:id="18"/>
      <w:bookmarkEnd w:id="19"/>
      <w:r w:rsidR="00F67E26">
        <w:rPr>
          <w:b w:val="0"/>
          <w:bCs w:val="0"/>
          <w:caps w:val="0"/>
          <w:sz w:val="22"/>
        </w:rPr>
        <w:t xml:space="preserve"> internally and externally</w:t>
      </w:r>
      <w:bookmarkEnd w:id="20"/>
      <w:bookmarkEnd w:id="21"/>
    </w:p>
    <w:p w14:paraId="7A490E05" w14:textId="4216EEA3" w:rsidR="004B10A9" w:rsidRDefault="00C42B87" w:rsidP="00E61DD1">
      <w:pPr>
        <w:pStyle w:val="Heading1"/>
        <w:numPr>
          <w:ilvl w:val="0"/>
          <w:numId w:val="10"/>
        </w:numPr>
        <w:rPr>
          <w:b w:val="0"/>
          <w:bCs w:val="0"/>
          <w:caps w:val="0"/>
          <w:sz w:val="22"/>
        </w:rPr>
      </w:pPr>
      <w:bookmarkStart w:id="22" w:name="_Toc147696981"/>
      <w:bookmarkStart w:id="23" w:name="_Toc148650888"/>
      <w:bookmarkStart w:id="24" w:name="_Toc155773694"/>
      <w:bookmarkStart w:id="25" w:name="_Toc159429858"/>
      <w:r>
        <w:rPr>
          <w:b w:val="0"/>
          <w:bCs w:val="0"/>
          <w:caps w:val="0"/>
          <w:sz w:val="22"/>
        </w:rPr>
        <w:t>P</w:t>
      </w:r>
      <w:r w:rsidR="00A82B90">
        <w:rPr>
          <w:b w:val="0"/>
          <w:bCs w:val="0"/>
          <w:caps w:val="0"/>
          <w:sz w:val="22"/>
        </w:rPr>
        <w:t xml:space="preserve">rofiling </w:t>
      </w:r>
      <w:r w:rsidR="004B10A9">
        <w:rPr>
          <w:b w:val="0"/>
          <w:bCs w:val="0"/>
          <w:caps w:val="0"/>
          <w:sz w:val="22"/>
        </w:rPr>
        <w:t>by analysing historic patient safety incidents</w:t>
      </w:r>
      <w:r w:rsidR="004B10A9" w:rsidRPr="004B10A9">
        <w:rPr>
          <w:b w:val="0"/>
          <w:bCs w:val="0"/>
          <w:caps w:val="0"/>
          <w:sz w:val="22"/>
        </w:rPr>
        <w:t xml:space="preserve">, Business Intelligence analytics, complaints, claims, colleague feedback and risk </w:t>
      </w:r>
      <w:bookmarkEnd w:id="22"/>
      <w:bookmarkEnd w:id="23"/>
      <w:bookmarkEnd w:id="24"/>
      <w:bookmarkEnd w:id="25"/>
      <w:r w:rsidR="004B3C05" w:rsidRPr="004B10A9">
        <w:rPr>
          <w:b w:val="0"/>
          <w:bCs w:val="0"/>
          <w:caps w:val="0"/>
          <w:sz w:val="22"/>
        </w:rPr>
        <w:t>assessments.</w:t>
      </w:r>
    </w:p>
    <w:p w14:paraId="1C0B7407" w14:textId="41BC4874" w:rsidR="004B10A9" w:rsidRDefault="00C42B87" w:rsidP="00E61DD1">
      <w:pPr>
        <w:pStyle w:val="Heading1"/>
        <w:numPr>
          <w:ilvl w:val="0"/>
          <w:numId w:val="10"/>
        </w:numPr>
        <w:rPr>
          <w:b w:val="0"/>
          <w:bCs w:val="0"/>
          <w:caps w:val="0"/>
          <w:sz w:val="22"/>
        </w:rPr>
      </w:pPr>
      <w:bookmarkStart w:id="26" w:name="_Toc147696982"/>
      <w:bookmarkStart w:id="27" w:name="_Toc148650889"/>
      <w:bookmarkStart w:id="28" w:name="_Toc155773695"/>
      <w:bookmarkStart w:id="29" w:name="_Toc159429859"/>
      <w:r>
        <w:rPr>
          <w:b w:val="0"/>
          <w:bCs w:val="0"/>
          <w:caps w:val="0"/>
          <w:sz w:val="22"/>
        </w:rPr>
        <w:t>R</w:t>
      </w:r>
      <w:r w:rsidR="00A82B90">
        <w:rPr>
          <w:b w:val="0"/>
          <w:bCs w:val="0"/>
          <w:caps w:val="0"/>
          <w:sz w:val="22"/>
        </w:rPr>
        <w:t xml:space="preserve">eviewing </w:t>
      </w:r>
      <w:r w:rsidR="004B10A9" w:rsidRPr="00A82B90">
        <w:rPr>
          <w:b w:val="0"/>
          <w:bCs w:val="0"/>
          <w:caps w:val="0"/>
          <w:sz w:val="22"/>
        </w:rPr>
        <w:t>the Quality Improvement (QI) Framework</w:t>
      </w:r>
      <w:r w:rsidR="00CA152A">
        <w:rPr>
          <w:b w:val="0"/>
          <w:bCs w:val="0"/>
          <w:caps w:val="0"/>
          <w:sz w:val="22"/>
        </w:rPr>
        <w:t xml:space="preserve"> and projects</w:t>
      </w:r>
      <w:r w:rsidR="004B10A9" w:rsidRPr="00A82B90">
        <w:rPr>
          <w:b w:val="0"/>
          <w:bCs w:val="0"/>
          <w:caps w:val="0"/>
          <w:sz w:val="22"/>
        </w:rPr>
        <w:t xml:space="preserve"> for 2023</w:t>
      </w:r>
      <w:bookmarkEnd w:id="26"/>
      <w:bookmarkEnd w:id="27"/>
      <w:bookmarkEnd w:id="28"/>
      <w:bookmarkEnd w:id="29"/>
      <w:r w:rsidR="004B10A9" w:rsidRPr="00A82B90">
        <w:rPr>
          <w:b w:val="0"/>
          <w:bCs w:val="0"/>
          <w:caps w:val="0"/>
          <w:sz w:val="22"/>
        </w:rPr>
        <w:t xml:space="preserve"> </w:t>
      </w:r>
    </w:p>
    <w:p w14:paraId="197CD8DE" w14:textId="52AA838F" w:rsidR="00A82B90" w:rsidRDefault="00C42B87" w:rsidP="00E61DD1">
      <w:pPr>
        <w:pStyle w:val="Heading1"/>
        <w:numPr>
          <w:ilvl w:val="0"/>
          <w:numId w:val="10"/>
        </w:numPr>
        <w:rPr>
          <w:b w:val="0"/>
          <w:bCs w:val="0"/>
          <w:caps w:val="0"/>
          <w:sz w:val="22"/>
        </w:rPr>
      </w:pPr>
      <w:bookmarkStart w:id="30" w:name="_Toc147696983"/>
      <w:bookmarkStart w:id="31" w:name="_Toc148650890"/>
      <w:bookmarkStart w:id="32" w:name="_Toc155773696"/>
      <w:bookmarkStart w:id="33" w:name="_Toc159429860"/>
      <w:r>
        <w:rPr>
          <w:b w:val="0"/>
          <w:bCs w:val="0"/>
          <w:caps w:val="0"/>
          <w:sz w:val="22"/>
        </w:rPr>
        <w:t>A</w:t>
      </w:r>
      <w:r w:rsidR="00A82B90">
        <w:rPr>
          <w:b w:val="0"/>
          <w:bCs w:val="0"/>
          <w:caps w:val="0"/>
          <w:sz w:val="22"/>
        </w:rPr>
        <w:t xml:space="preserve">greeing the Spire Healthcare </w:t>
      </w:r>
      <w:r w:rsidR="008A1730">
        <w:rPr>
          <w:b w:val="0"/>
          <w:bCs w:val="0"/>
          <w:caps w:val="0"/>
          <w:sz w:val="22"/>
        </w:rPr>
        <w:t>G</w:t>
      </w:r>
      <w:r w:rsidR="00A82B90">
        <w:rPr>
          <w:b w:val="0"/>
          <w:bCs w:val="0"/>
          <w:caps w:val="0"/>
          <w:sz w:val="22"/>
        </w:rPr>
        <w:t>roup (local) priorities</w:t>
      </w:r>
      <w:bookmarkEnd w:id="30"/>
      <w:bookmarkEnd w:id="31"/>
      <w:bookmarkEnd w:id="32"/>
      <w:bookmarkEnd w:id="33"/>
    </w:p>
    <w:p w14:paraId="7FC88051" w14:textId="625FDFA6" w:rsidR="00A82B90" w:rsidRDefault="00C42B87" w:rsidP="00E61DD1">
      <w:pPr>
        <w:pStyle w:val="Heading1"/>
        <w:numPr>
          <w:ilvl w:val="0"/>
          <w:numId w:val="10"/>
        </w:numPr>
        <w:rPr>
          <w:b w:val="0"/>
          <w:bCs w:val="0"/>
          <w:caps w:val="0"/>
          <w:sz w:val="22"/>
        </w:rPr>
      </w:pPr>
      <w:bookmarkStart w:id="34" w:name="_Toc147696984"/>
      <w:bookmarkStart w:id="35" w:name="_Toc148650891"/>
      <w:bookmarkStart w:id="36" w:name="_Toc155773697"/>
      <w:bookmarkStart w:id="37" w:name="_Toc159429861"/>
      <w:r>
        <w:rPr>
          <w:b w:val="0"/>
          <w:bCs w:val="0"/>
          <w:caps w:val="0"/>
          <w:sz w:val="22"/>
        </w:rPr>
        <w:t>A</w:t>
      </w:r>
      <w:r w:rsidR="00A82B90">
        <w:rPr>
          <w:b w:val="0"/>
          <w:bCs w:val="0"/>
          <w:caps w:val="0"/>
          <w:sz w:val="22"/>
        </w:rPr>
        <w:t>greeing the patient safety incident response methods</w:t>
      </w:r>
      <w:bookmarkEnd w:id="34"/>
      <w:bookmarkEnd w:id="35"/>
      <w:bookmarkEnd w:id="36"/>
      <w:bookmarkEnd w:id="37"/>
      <w:r w:rsidR="00A82B90">
        <w:rPr>
          <w:b w:val="0"/>
          <w:bCs w:val="0"/>
          <w:caps w:val="0"/>
          <w:sz w:val="22"/>
        </w:rPr>
        <w:t xml:space="preserve"> </w:t>
      </w:r>
    </w:p>
    <w:p w14:paraId="0F654216" w14:textId="77777777" w:rsidR="004B10A9" w:rsidRDefault="004B10A9" w:rsidP="00E61DD1">
      <w:pPr>
        <w:pStyle w:val="Heading1"/>
        <w:numPr>
          <w:ilvl w:val="0"/>
          <w:numId w:val="0"/>
        </w:numPr>
        <w:ind w:left="762"/>
        <w:rPr>
          <w:b w:val="0"/>
          <w:bCs w:val="0"/>
          <w:caps w:val="0"/>
          <w:sz w:val="22"/>
        </w:rPr>
      </w:pPr>
    </w:p>
    <w:p w14:paraId="21C6FC13" w14:textId="77777777" w:rsidR="002641A9" w:rsidRPr="004B3C05" w:rsidRDefault="002641A9" w:rsidP="00E61DD1">
      <w:pPr>
        <w:pStyle w:val="Heading1"/>
        <w:rPr>
          <w:caps w:val="0"/>
          <w:color w:val="008385"/>
        </w:rPr>
      </w:pPr>
      <w:bookmarkStart w:id="38" w:name="_Toc159429862"/>
      <w:r w:rsidRPr="004B3C05">
        <w:rPr>
          <w:caps w:val="0"/>
          <w:color w:val="008385"/>
        </w:rPr>
        <w:t>REVIEWING OUR PATIENT SAFETY INCIDENT RESPONSE POLICY AND PLAN</w:t>
      </w:r>
      <w:bookmarkEnd w:id="38"/>
    </w:p>
    <w:p w14:paraId="4B46A822" w14:textId="77777777" w:rsidR="00CD42CF" w:rsidRDefault="00CD42CF" w:rsidP="00E61DD1">
      <w:pPr>
        <w:pStyle w:val="Heading1"/>
        <w:numPr>
          <w:ilvl w:val="0"/>
          <w:numId w:val="0"/>
        </w:numPr>
        <w:ind w:left="762"/>
      </w:pPr>
    </w:p>
    <w:p w14:paraId="7E1B9F70" w14:textId="77777777" w:rsidR="002641A9" w:rsidRDefault="002641A9" w:rsidP="00E61DD1">
      <w:pPr>
        <w:pStyle w:val="Heading2"/>
        <w:numPr>
          <w:ilvl w:val="1"/>
          <w:numId w:val="14"/>
        </w:numPr>
        <w:spacing w:after="0"/>
        <w:jc w:val="both"/>
      </w:pPr>
      <w:r>
        <w:t xml:space="preserve">Our patient safety incident response plan is a ‘living document’ that will be appropriately amended and updated as we use it to respond to patient safety incidents. We will review the plan every 12 months to ensure our focus remains up to date; with ongoing improvement work our patient safety incident profile is likely to change. This will also provide an opportunity to re-engage with stakeholders to discuss and agree any changes made in the previous 12 months. </w:t>
      </w:r>
    </w:p>
    <w:p w14:paraId="4FFDD223" w14:textId="77777777" w:rsidR="00C423F2" w:rsidRDefault="00C423F2" w:rsidP="00C423F2">
      <w:pPr>
        <w:pStyle w:val="Heading2"/>
        <w:numPr>
          <w:ilvl w:val="0"/>
          <w:numId w:val="0"/>
        </w:numPr>
        <w:spacing w:after="0"/>
        <w:ind w:left="762"/>
        <w:jc w:val="both"/>
      </w:pPr>
    </w:p>
    <w:p w14:paraId="04C07CAF" w14:textId="77777777" w:rsidR="002641A9" w:rsidRDefault="002641A9" w:rsidP="00E61DD1">
      <w:pPr>
        <w:pStyle w:val="Heading2"/>
        <w:numPr>
          <w:ilvl w:val="1"/>
          <w:numId w:val="14"/>
        </w:numPr>
        <w:spacing w:after="0"/>
        <w:jc w:val="both"/>
      </w:pPr>
      <w:r>
        <w:t xml:space="preserve">Updated plans will be published on our website, replacing the previous version.  </w:t>
      </w:r>
    </w:p>
    <w:p w14:paraId="1070C5E4" w14:textId="77777777" w:rsidR="00D95289" w:rsidRDefault="00D95289" w:rsidP="00E61DD1">
      <w:pPr>
        <w:pStyle w:val="Heading2"/>
        <w:numPr>
          <w:ilvl w:val="0"/>
          <w:numId w:val="0"/>
        </w:numPr>
        <w:spacing w:after="0"/>
        <w:ind w:left="762"/>
        <w:jc w:val="both"/>
      </w:pPr>
    </w:p>
    <w:p w14:paraId="694AA1C2" w14:textId="77777777" w:rsidR="002641A9" w:rsidRPr="004B3C05" w:rsidRDefault="002641A9" w:rsidP="00E61DD1">
      <w:pPr>
        <w:pStyle w:val="Heading1"/>
        <w:rPr>
          <w:caps w:val="0"/>
          <w:color w:val="008385"/>
        </w:rPr>
      </w:pPr>
      <w:bookmarkStart w:id="39" w:name="_Toc159429863"/>
      <w:r w:rsidRPr="004B3C05">
        <w:rPr>
          <w:caps w:val="0"/>
          <w:color w:val="008385"/>
        </w:rPr>
        <w:t>RESPONDING TO PATIENT SAFETY INCIDENTS</w:t>
      </w:r>
      <w:bookmarkEnd w:id="39"/>
    </w:p>
    <w:p w14:paraId="12520A7C" w14:textId="77777777" w:rsidR="002641A9" w:rsidRPr="00C54E16" w:rsidRDefault="002641A9" w:rsidP="00E61DD1">
      <w:pPr>
        <w:pStyle w:val="Heading1"/>
        <w:numPr>
          <w:ilvl w:val="0"/>
          <w:numId w:val="0"/>
        </w:numPr>
        <w:ind w:left="762"/>
        <w:rPr>
          <w:b w:val="0"/>
          <w:bCs w:val="0"/>
          <w:caps w:val="0"/>
          <w:sz w:val="22"/>
          <w:highlight w:val="magenta"/>
        </w:rPr>
      </w:pPr>
    </w:p>
    <w:p w14:paraId="160F22B7" w14:textId="77777777" w:rsidR="002641A9" w:rsidRDefault="002641A9" w:rsidP="00E61DD1">
      <w:pPr>
        <w:pStyle w:val="Heading2"/>
        <w:numPr>
          <w:ilvl w:val="1"/>
          <w:numId w:val="15"/>
        </w:numPr>
        <w:spacing w:after="0"/>
        <w:jc w:val="both"/>
        <w:rPr>
          <w:b/>
          <w:bCs/>
        </w:rPr>
      </w:pPr>
      <w:r w:rsidRPr="00F656D4">
        <w:rPr>
          <w:b/>
          <w:bCs/>
        </w:rPr>
        <w:t>Patient safety incident reporting arrangements</w:t>
      </w:r>
    </w:p>
    <w:p w14:paraId="6C8F42F5" w14:textId="77777777" w:rsidR="003E12A3" w:rsidRPr="00F656D4" w:rsidRDefault="003E12A3" w:rsidP="00E61DD1">
      <w:pPr>
        <w:pStyle w:val="Heading2"/>
        <w:numPr>
          <w:ilvl w:val="0"/>
          <w:numId w:val="0"/>
        </w:numPr>
        <w:spacing w:after="0"/>
        <w:ind w:left="762"/>
        <w:jc w:val="both"/>
        <w:rPr>
          <w:b/>
          <w:bCs/>
        </w:rPr>
      </w:pPr>
    </w:p>
    <w:p w14:paraId="25F725BB" w14:textId="77777777" w:rsidR="00591C1B" w:rsidRDefault="00591C1B" w:rsidP="00E61DD1">
      <w:pPr>
        <w:pStyle w:val="Heading2"/>
        <w:numPr>
          <w:ilvl w:val="0"/>
          <w:numId w:val="0"/>
        </w:numPr>
        <w:spacing w:after="0"/>
        <w:ind w:left="762"/>
        <w:jc w:val="both"/>
      </w:pPr>
      <w:r>
        <w:t>The purpose of incident reporting is to deal with the issues that cause incidents and accidents, not to blame individual people. This does not detract from individuals’ responsibilities to carry out their duties in an appropriate and professional manner, or from Spire Healthcare’s right to carry out disciplinary measures where required, such as cases involving gross professional misconduct or repeated failings.</w:t>
      </w:r>
    </w:p>
    <w:p w14:paraId="4294845A" w14:textId="77777777" w:rsidR="000743F7" w:rsidRDefault="000743F7" w:rsidP="00E61DD1">
      <w:pPr>
        <w:pStyle w:val="Heading2"/>
        <w:numPr>
          <w:ilvl w:val="0"/>
          <w:numId w:val="0"/>
        </w:numPr>
        <w:spacing w:after="0"/>
        <w:ind w:left="762"/>
        <w:jc w:val="both"/>
      </w:pPr>
    </w:p>
    <w:p w14:paraId="41C8DAFF" w14:textId="1F70F60A" w:rsidR="000743F7" w:rsidRDefault="002641A9" w:rsidP="00E61DD1">
      <w:pPr>
        <w:pStyle w:val="Heading2"/>
        <w:numPr>
          <w:ilvl w:val="0"/>
          <w:numId w:val="0"/>
        </w:numPr>
        <w:spacing w:after="0"/>
        <w:ind w:left="762"/>
        <w:jc w:val="both"/>
      </w:pPr>
      <w:r w:rsidRPr="00625D41">
        <w:t xml:space="preserve">Incident reporting is currently the responsibility of all </w:t>
      </w:r>
      <w:r w:rsidR="00E05AC5">
        <w:t xml:space="preserve">colleagues </w:t>
      </w:r>
      <w:r w:rsidRPr="00625D41">
        <w:t xml:space="preserve">and is done so via the </w:t>
      </w:r>
      <w:r w:rsidR="002E324E" w:rsidRPr="00625D41">
        <w:t>organisation’s</w:t>
      </w:r>
      <w:r w:rsidRPr="00625D41">
        <w:t xml:space="preserve"> incident reporting system; </w:t>
      </w:r>
      <w:r w:rsidR="00862171">
        <w:t>Datix</w:t>
      </w:r>
      <w:r w:rsidRPr="00625D41">
        <w:t xml:space="preserve">. </w:t>
      </w:r>
      <w:r w:rsidR="00500541">
        <w:t xml:space="preserve"> </w:t>
      </w:r>
      <w:r w:rsidR="00900E02">
        <w:t>Over 2024 the organisation will move to DCIQ</w:t>
      </w:r>
      <w:r w:rsidR="00D52244">
        <w:t>, which will allow us to record in</w:t>
      </w:r>
      <w:r w:rsidR="00D90552">
        <w:t>cidents, in</w:t>
      </w:r>
      <w:r w:rsidR="00D52244">
        <w:t>vestigations and participate in</w:t>
      </w:r>
      <w:r w:rsidR="008D2B81" w:rsidRPr="008D2B81">
        <w:t xml:space="preserve"> </w:t>
      </w:r>
      <w:r w:rsidR="008D2B81">
        <w:t>the NHS England ‘Learn from Patient Safety Events’ (LFPSE) service, which will improve how it learns from patient safety events for NHS England commissioned patients</w:t>
      </w:r>
      <w:r w:rsidR="00E9758D">
        <w:t>.</w:t>
      </w:r>
    </w:p>
    <w:p w14:paraId="2489F886" w14:textId="77777777" w:rsidR="00E9758D" w:rsidRPr="00625D41" w:rsidRDefault="00E9758D" w:rsidP="00E61DD1">
      <w:pPr>
        <w:pStyle w:val="Heading2"/>
        <w:numPr>
          <w:ilvl w:val="0"/>
          <w:numId w:val="0"/>
        </w:numPr>
        <w:spacing w:after="0"/>
        <w:ind w:left="762"/>
        <w:jc w:val="both"/>
      </w:pPr>
    </w:p>
    <w:p w14:paraId="491580C8" w14:textId="7A940BEC" w:rsidR="002641A9" w:rsidRDefault="002641A9" w:rsidP="00E61DD1">
      <w:pPr>
        <w:pStyle w:val="Heading2"/>
        <w:numPr>
          <w:ilvl w:val="0"/>
          <w:numId w:val="0"/>
        </w:numPr>
        <w:spacing w:after="0"/>
        <w:ind w:left="762"/>
        <w:jc w:val="both"/>
      </w:pPr>
      <w:r w:rsidRPr="00625D41">
        <w:t xml:space="preserve">Department managers are responsible for ensuring that </w:t>
      </w:r>
      <w:r w:rsidR="00E05AC5">
        <w:t xml:space="preserve">colleagues </w:t>
      </w:r>
      <w:r w:rsidRPr="00625D41">
        <w:t xml:space="preserve">are supported when reporting incidents and </w:t>
      </w:r>
      <w:r w:rsidR="00312B98">
        <w:t>escalating to</w:t>
      </w:r>
      <w:r w:rsidR="00312B98" w:rsidRPr="00625D41">
        <w:t xml:space="preserve"> </w:t>
      </w:r>
      <w:r w:rsidRPr="00625D41">
        <w:t>the senior management team at the hospital</w:t>
      </w:r>
      <w:r w:rsidR="00312B98">
        <w:t xml:space="preserve"> where appropriate.</w:t>
      </w:r>
    </w:p>
    <w:p w14:paraId="27D646CD" w14:textId="77777777" w:rsidR="000743F7" w:rsidRDefault="000743F7" w:rsidP="00E61DD1">
      <w:pPr>
        <w:pStyle w:val="Heading2"/>
        <w:numPr>
          <w:ilvl w:val="0"/>
          <w:numId w:val="0"/>
        </w:numPr>
        <w:spacing w:after="0"/>
        <w:ind w:left="762"/>
        <w:jc w:val="both"/>
      </w:pPr>
    </w:p>
    <w:p w14:paraId="58FA41DC" w14:textId="07617763" w:rsidR="002641A9" w:rsidRDefault="002641A9" w:rsidP="00E61DD1">
      <w:pPr>
        <w:pStyle w:val="Heading2"/>
        <w:numPr>
          <w:ilvl w:val="0"/>
          <w:numId w:val="0"/>
        </w:numPr>
        <w:spacing w:after="0"/>
        <w:ind w:left="762"/>
        <w:jc w:val="both"/>
      </w:pPr>
      <w:r>
        <w:t>The Hospital Director</w:t>
      </w:r>
      <w:r w:rsidR="00FF45C5">
        <w:t xml:space="preserve"> (or equivalent for clinics and some GP services) </w:t>
      </w:r>
      <w:r>
        <w:t>is responsible for ensuring suitable committee arrangements are in place to review incidents, complaints and claims in line with Spire Standards for Hospital Governance</w:t>
      </w:r>
      <w:r w:rsidR="00625D41">
        <w:t xml:space="preserve"> CLIN 01</w:t>
      </w:r>
      <w:r>
        <w:t>.</w:t>
      </w:r>
    </w:p>
    <w:p w14:paraId="24B1CCAB" w14:textId="77777777" w:rsidR="000743F7" w:rsidRDefault="000743F7" w:rsidP="00E61DD1">
      <w:pPr>
        <w:pStyle w:val="Heading2"/>
        <w:numPr>
          <w:ilvl w:val="0"/>
          <w:numId w:val="0"/>
        </w:numPr>
        <w:spacing w:after="0"/>
        <w:ind w:left="762"/>
        <w:jc w:val="both"/>
      </w:pPr>
    </w:p>
    <w:p w14:paraId="39E170E9" w14:textId="338B5DEC" w:rsidR="007431B2" w:rsidRDefault="007431B2" w:rsidP="00E61DD1">
      <w:pPr>
        <w:pStyle w:val="Heading2"/>
        <w:numPr>
          <w:ilvl w:val="0"/>
          <w:numId w:val="0"/>
        </w:numPr>
        <w:spacing w:after="0"/>
        <w:ind w:left="762"/>
        <w:jc w:val="both"/>
      </w:pPr>
      <w:r>
        <w:t xml:space="preserve">The </w:t>
      </w:r>
      <w:r w:rsidR="00B87BAE">
        <w:t xml:space="preserve">Group </w:t>
      </w:r>
      <w:r w:rsidRPr="00C64A17">
        <w:t xml:space="preserve">have an agreed process for determining </w:t>
      </w:r>
      <w:r w:rsidR="00436A1C" w:rsidRPr="00C64A17">
        <w:t>the initial level of incident response (</w:t>
      </w:r>
      <w:r w:rsidR="00C64A17" w:rsidRPr="00C64A17">
        <w:t xml:space="preserve">Patient Safety Incident Response </w:t>
      </w:r>
      <w:r w:rsidR="00436A1C" w:rsidRPr="00C64A17">
        <w:t xml:space="preserve">Flowchart, </w:t>
      </w:r>
      <w:r w:rsidR="00436A1C" w:rsidRPr="00080301">
        <w:t xml:space="preserve">Appendix </w:t>
      </w:r>
      <w:r w:rsidR="007C1A66">
        <w:t>18</w:t>
      </w:r>
      <w:r w:rsidR="00436A1C" w:rsidRPr="00C64A17">
        <w:t>)</w:t>
      </w:r>
      <w:r w:rsidRPr="00C64A17">
        <w:t>,</w:t>
      </w:r>
      <w:r>
        <w:t xml:space="preserve"> this will </w:t>
      </w:r>
      <w:r w:rsidR="00967ADE">
        <w:t>be undertaken at the weekly rapid response meeting</w:t>
      </w:r>
      <w:r w:rsidR="00436A1C">
        <w:t>.</w:t>
      </w:r>
    </w:p>
    <w:p w14:paraId="513FBB7F" w14:textId="53E2997C" w:rsidR="007431B2" w:rsidRDefault="007431B2" w:rsidP="00E61DD1">
      <w:pPr>
        <w:pStyle w:val="Heading2"/>
        <w:numPr>
          <w:ilvl w:val="0"/>
          <w:numId w:val="0"/>
        </w:numPr>
        <w:spacing w:after="0"/>
        <w:ind w:left="762"/>
        <w:jc w:val="both"/>
      </w:pPr>
      <w:r>
        <w:t xml:space="preserve">For all incidents, the Hospital Director or Director of Clinical Services (or an individual appropriately designated to do so) is responsible for confirming that any action which is deemed necessary in immediate response to the </w:t>
      </w:r>
      <w:r w:rsidR="00436A1C">
        <w:t>i</w:t>
      </w:r>
      <w:r>
        <w:t xml:space="preserve">ncident (particularly to secure the safety of patients, </w:t>
      </w:r>
      <w:r w:rsidR="00E05AC5">
        <w:t>colleagues and consultant partners</w:t>
      </w:r>
      <w:r>
        <w:t xml:space="preserve"> and others) has been </w:t>
      </w:r>
      <w:r w:rsidR="009A6BE7">
        <w:t>completed.</w:t>
      </w:r>
    </w:p>
    <w:p w14:paraId="0266C9C5" w14:textId="77777777" w:rsidR="00C72EAE" w:rsidRDefault="00C72EAE" w:rsidP="00E61DD1">
      <w:pPr>
        <w:pStyle w:val="Heading2"/>
        <w:numPr>
          <w:ilvl w:val="0"/>
          <w:numId w:val="0"/>
        </w:numPr>
        <w:spacing w:after="0"/>
        <w:ind w:left="762"/>
        <w:jc w:val="both"/>
      </w:pPr>
    </w:p>
    <w:p w14:paraId="0C0EF351" w14:textId="6CBAB8D8" w:rsidR="00436A1C" w:rsidRDefault="00436A1C" w:rsidP="00E61DD1">
      <w:pPr>
        <w:pStyle w:val="Heading2"/>
        <w:spacing w:after="0"/>
        <w:jc w:val="both"/>
        <w:rPr>
          <w:b/>
          <w:bCs/>
        </w:rPr>
      </w:pPr>
      <w:r w:rsidRPr="00C47711">
        <w:rPr>
          <w:b/>
          <w:bCs/>
        </w:rPr>
        <w:t xml:space="preserve">Initial levels of patient safety incident response </w:t>
      </w:r>
    </w:p>
    <w:p w14:paraId="7E097FA4" w14:textId="77777777" w:rsidR="00E61DD1" w:rsidRPr="00C47711" w:rsidRDefault="00E61DD1" w:rsidP="00E61DD1">
      <w:pPr>
        <w:pStyle w:val="Heading2"/>
        <w:numPr>
          <w:ilvl w:val="0"/>
          <w:numId w:val="0"/>
        </w:numPr>
        <w:spacing w:after="0"/>
        <w:ind w:left="762"/>
        <w:jc w:val="both"/>
        <w:rPr>
          <w:b/>
          <w:bCs/>
        </w:rPr>
      </w:pPr>
    </w:p>
    <w:p w14:paraId="3079DAD0" w14:textId="1ED6CE05" w:rsidR="003D3D81" w:rsidRDefault="00862171" w:rsidP="00AB2AC6">
      <w:pPr>
        <w:pStyle w:val="Heading2"/>
        <w:numPr>
          <w:ilvl w:val="0"/>
          <w:numId w:val="24"/>
        </w:numPr>
        <w:spacing w:after="0"/>
        <w:jc w:val="both"/>
        <w:rPr>
          <w:b/>
          <w:bCs/>
        </w:rPr>
      </w:pPr>
      <w:r>
        <w:rPr>
          <w:b/>
          <w:bCs/>
        </w:rPr>
        <w:t>Datix</w:t>
      </w:r>
      <w:r w:rsidR="003D3D81">
        <w:rPr>
          <w:b/>
          <w:bCs/>
        </w:rPr>
        <w:t xml:space="preserve"> (No enhanced investigation required)</w:t>
      </w:r>
    </w:p>
    <w:p w14:paraId="4AFF4188" w14:textId="4624EDCC" w:rsidR="003D3D81" w:rsidRPr="008433B7" w:rsidRDefault="003D3D81" w:rsidP="00E61DD1">
      <w:pPr>
        <w:pStyle w:val="Heading2"/>
        <w:numPr>
          <w:ilvl w:val="0"/>
          <w:numId w:val="0"/>
        </w:numPr>
        <w:spacing w:after="0"/>
        <w:ind w:left="1122"/>
        <w:jc w:val="both"/>
      </w:pPr>
      <w:r w:rsidRPr="008433B7">
        <w:t xml:space="preserve">The focus on learning should be maintained with any key learnings actioned and shared.  </w:t>
      </w:r>
    </w:p>
    <w:p w14:paraId="58D5E5E5" w14:textId="3D81DDF1" w:rsidR="003D3D81" w:rsidRDefault="003D3D81" w:rsidP="00E61DD1">
      <w:pPr>
        <w:pStyle w:val="Heading2"/>
        <w:numPr>
          <w:ilvl w:val="0"/>
          <w:numId w:val="0"/>
        </w:numPr>
        <w:spacing w:after="0"/>
        <w:ind w:left="1122"/>
        <w:jc w:val="both"/>
      </w:pPr>
      <w:r w:rsidRPr="008433B7">
        <w:t>The incident will be closed and will be included in analysis of trends quarterly.</w:t>
      </w:r>
    </w:p>
    <w:p w14:paraId="7D5F5479" w14:textId="77777777" w:rsidR="00257033" w:rsidRDefault="00257033" w:rsidP="00E61DD1">
      <w:pPr>
        <w:pStyle w:val="Heading2"/>
        <w:numPr>
          <w:ilvl w:val="0"/>
          <w:numId w:val="0"/>
        </w:numPr>
        <w:spacing w:after="0"/>
        <w:ind w:left="1122"/>
        <w:jc w:val="both"/>
      </w:pPr>
    </w:p>
    <w:p w14:paraId="28B3CCD2" w14:textId="56F92E80" w:rsidR="00436A1C" w:rsidRDefault="00436A1C" w:rsidP="00AB2AC6">
      <w:pPr>
        <w:pStyle w:val="Heading2"/>
        <w:numPr>
          <w:ilvl w:val="0"/>
          <w:numId w:val="24"/>
        </w:numPr>
        <w:spacing w:after="0"/>
        <w:jc w:val="both"/>
        <w:rPr>
          <w:b/>
          <w:bCs/>
        </w:rPr>
      </w:pPr>
      <w:r w:rsidRPr="00AD106D">
        <w:rPr>
          <w:b/>
          <w:bCs/>
        </w:rPr>
        <w:t>P</w:t>
      </w:r>
      <w:r w:rsidR="00C64A17" w:rsidRPr="00AD106D">
        <w:rPr>
          <w:b/>
          <w:bCs/>
        </w:rPr>
        <w:t xml:space="preserve">atient </w:t>
      </w:r>
      <w:r w:rsidRPr="00AD106D">
        <w:rPr>
          <w:b/>
          <w:bCs/>
        </w:rPr>
        <w:t>S</w:t>
      </w:r>
      <w:r w:rsidR="00C64A17" w:rsidRPr="00AD106D">
        <w:rPr>
          <w:b/>
          <w:bCs/>
        </w:rPr>
        <w:t xml:space="preserve">afety </w:t>
      </w:r>
      <w:r w:rsidRPr="00AD106D">
        <w:rPr>
          <w:b/>
          <w:bCs/>
        </w:rPr>
        <w:t>I</w:t>
      </w:r>
      <w:r w:rsidR="00C64A17" w:rsidRPr="00AD106D">
        <w:rPr>
          <w:b/>
          <w:bCs/>
        </w:rPr>
        <w:t>ncident Review (PSIR)</w:t>
      </w:r>
    </w:p>
    <w:p w14:paraId="1AA61FC3" w14:textId="54DFCD84" w:rsidR="00C47711" w:rsidRDefault="004A3D55" w:rsidP="00E61DD1">
      <w:pPr>
        <w:pStyle w:val="Heading2"/>
        <w:numPr>
          <w:ilvl w:val="0"/>
          <w:numId w:val="0"/>
        </w:numPr>
        <w:spacing w:after="0"/>
        <w:ind w:left="1122"/>
        <w:jc w:val="both"/>
        <w:rPr>
          <w:rStyle w:val="Hyperlink"/>
        </w:rPr>
      </w:pPr>
      <w:r>
        <w:t>Where an i</w:t>
      </w:r>
      <w:r w:rsidR="00C64A17">
        <w:t>ncident i</w:t>
      </w:r>
      <w:r w:rsidR="00C47711" w:rsidRPr="00C47711">
        <w:t xml:space="preserve">mmediately meets the </w:t>
      </w:r>
      <w:r w:rsidR="00C64A17" w:rsidRPr="00C47711">
        <w:t>criteria</w:t>
      </w:r>
      <w:r w:rsidR="00C47711" w:rsidRPr="00C47711">
        <w:t xml:space="preserve"> for a P</w:t>
      </w:r>
      <w:r w:rsidR="00C64A17">
        <w:t xml:space="preserve">atient </w:t>
      </w:r>
      <w:r w:rsidR="00C47711" w:rsidRPr="00C47711">
        <w:t>S</w:t>
      </w:r>
      <w:r w:rsidR="00C64A17">
        <w:t xml:space="preserve">afety </w:t>
      </w:r>
      <w:r w:rsidR="00C47711" w:rsidRPr="00C47711">
        <w:t>I</w:t>
      </w:r>
      <w:r w:rsidR="00C64A17">
        <w:t xml:space="preserve">ncidents </w:t>
      </w:r>
      <w:r w:rsidR="00C47711" w:rsidRPr="00C47711">
        <w:t>I</w:t>
      </w:r>
      <w:r w:rsidR="00C64A17">
        <w:t>nvestigation (PSII - as detailed in the PSIRF Plan</w:t>
      </w:r>
      <w:r w:rsidR="0030389D">
        <w:t xml:space="preserve"> and Appendix 28</w:t>
      </w:r>
      <w:r w:rsidR="00C64A17">
        <w:t>)</w:t>
      </w:r>
      <w:r w:rsidR="00C47711" w:rsidRPr="00C47711">
        <w:t>.  PSIR</w:t>
      </w:r>
      <w:r w:rsidR="00C64A17">
        <w:t xml:space="preserve"> form</w:t>
      </w:r>
      <w:r w:rsidR="00C47711" w:rsidRPr="00C47711">
        <w:t xml:space="preserve"> </w:t>
      </w:r>
      <w:r w:rsidR="00312B98">
        <w:t xml:space="preserve">will </w:t>
      </w:r>
      <w:r w:rsidR="00312B98" w:rsidRPr="00C47711">
        <w:t>be</w:t>
      </w:r>
      <w:r w:rsidR="00C47711" w:rsidRPr="00C47711">
        <w:t xml:space="preserve"> completed </w:t>
      </w:r>
      <w:bookmarkStart w:id="40" w:name="_Hlk159423923"/>
      <w:r w:rsidR="000E4047">
        <w:t xml:space="preserve">within 2 working days </w:t>
      </w:r>
      <w:bookmarkEnd w:id="40"/>
      <w:r w:rsidR="00C47711" w:rsidRPr="00C47711">
        <w:t xml:space="preserve">and sent </w:t>
      </w:r>
      <w:r w:rsidR="00201387">
        <w:t xml:space="preserve">for review </w:t>
      </w:r>
      <w:r w:rsidR="00C47711" w:rsidRPr="00C47711">
        <w:t>to the Patient Safety Incident Response Group</w:t>
      </w:r>
      <w:r w:rsidR="00C64A17">
        <w:t xml:space="preserve"> (PSIRG)</w:t>
      </w:r>
      <w:r w:rsidR="00201387">
        <w:t xml:space="preserve"> via </w:t>
      </w:r>
      <w:hyperlink r:id="rId31" w:history="1">
        <w:r w:rsidR="002D0BCE" w:rsidRPr="009C22BA">
          <w:rPr>
            <w:rStyle w:val="Hyperlink"/>
          </w:rPr>
          <w:t>$HospSeriousAdverseEventNotification@spirehealthcare.com</w:t>
        </w:r>
      </w:hyperlink>
    </w:p>
    <w:p w14:paraId="601196EB" w14:textId="77777777" w:rsidR="000E4047" w:rsidRDefault="000E4047" w:rsidP="00E61DD1">
      <w:pPr>
        <w:pStyle w:val="Heading2"/>
        <w:numPr>
          <w:ilvl w:val="0"/>
          <w:numId w:val="0"/>
        </w:numPr>
        <w:spacing w:after="0"/>
        <w:ind w:left="1122"/>
        <w:jc w:val="both"/>
      </w:pPr>
    </w:p>
    <w:p w14:paraId="7FCC0BB7" w14:textId="10443ACE" w:rsidR="00844EC1" w:rsidRDefault="00844EC1" w:rsidP="00AB2AC6">
      <w:pPr>
        <w:pStyle w:val="Heading2"/>
        <w:numPr>
          <w:ilvl w:val="0"/>
          <w:numId w:val="24"/>
        </w:numPr>
        <w:spacing w:after="0"/>
        <w:jc w:val="both"/>
        <w:rPr>
          <w:b/>
          <w:bCs/>
        </w:rPr>
      </w:pPr>
      <w:r w:rsidRPr="00C64A17">
        <w:rPr>
          <w:b/>
          <w:bCs/>
        </w:rPr>
        <w:t xml:space="preserve">Case review (e.g. </w:t>
      </w:r>
      <w:r w:rsidR="00F543EC">
        <w:rPr>
          <w:b/>
          <w:bCs/>
        </w:rPr>
        <w:t>Blood transfusion</w:t>
      </w:r>
      <w:r w:rsidR="009A2BED">
        <w:rPr>
          <w:b/>
          <w:bCs/>
        </w:rPr>
        <w:t xml:space="preserve">, </w:t>
      </w:r>
      <w:r w:rsidRPr="00C64A17">
        <w:rPr>
          <w:b/>
          <w:bCs/>
        </w:rPr>
        <w:t xml:space="preserve">VTE, IPC, Pressure Ulcer)       </w:t>
      </w:r>
    </w:p>
    <w:p w14:paraId="5A6F9C70" w14:textId="777416B3" w:rsidR="00881D4B" w:rsidRDefault="007F7930" w:rsidP="00E61DD1">
      <w:pPr>
        <w:pStyle w:val="Heading2"/>
        <w:numPr>
          <w:ilvl w:val="0"/>
          <w:numId w:val="0"/>
        </w:numPr>
        <w:spacing w:after="0"/>
        <w:ind w:left="1122"/>
        <w:jc w:val="both"/>
      </w:pPr>
      <w:r>
        <w:t xml:space="preserve">A case review will be </w:t>
      </w:r>
      <w:r w:rsidR="00844EC1">
        <w:t xml:space="preserve">carried out by </w:t>
      </w:r>
      <w:r w:rsidR="000E5256">
        <w:t>the hospital clinical team</w:t>
      </w:r>
      <w:r w:rsidR="00844EC1">
        <w:t xml:space="preserve">, to determine whether there were any </w:t>
      </w:r>
      <w:r w:rsidR="003E1329" w:rsidRPr="003E1329">
        <w:t>safety issues</w:t>
      </w:r>
      <w:r w:rsidR="003E1329">
        <w:t xml:space="preserve">, </w:t>
      </w:r>
      <w:r w:rsidR="003E1329" w:rsidRPr="003E1329">
        <w:t>learning and improvement</w:t>
      </w:r>
      <w:r w:rsidR="003E1329">
        <w:t xml:space="preserve"> opportunities. </w:t>
      </w:r>
      <w:r w:rsidR="003E1329" w:rsidRPr="003E1329">
        <w:t xml:space="preserve"> </w:t>
      </w:r>
    </w:p>
    <w:p w14:paraId="0F0F44A9" w14:textId="1711C443" w:rsidR="00F543EC" w:rsidRDefault="002A78C5" w:rsidP="00AB2AC6">
      <w:pPr>
        <w:pStyle w:val="Heading2"/>
        <w:numPr>
          <w:ilvl w:val="1"/>
          <w:numId w:val="24"/>
        </w:numPr>
        <w:spacing w:after="0"/>
        <w:jc w:val="both"/>
      </w:pPr>
      <w:r>
        <w:t>B</w:t>
      </w:r>
      <w:r w:rsidRPr="002A78C5">
        <w:t>lood transfusion and laboratory medicine incident investigation</w:t>
      </w:r>
      <w:r w:rsidR="00544ABF">
        <w:t xml:space="preserve"> (Appendix 14)</w:t>
      </w:r>
    </w:p>
    <w:p w14:paraId="3D3AD59D" w14:textId="23910F93" w:rsidR="00C64A17" w:rsidRPr="00080301" w:rsidRDefault="00AD106D" w:rsidP="00AB2AC6">
      <w:pPr>
        <w:pStyle w:val="Heading2"/>
        <w:numPr>
          <w:ilvl w:val="1"/>
          <w:numId w:val="24"/>
        </w:numPr>
        <w:spacing w:after="0"/>
        <w:jc w:val="both"/>
      </w:pPr>
      <w:r w:rsidRPr="00080301">
        <w:t xml:space="preserve">VTE Case Review (Appendix </w:t>
      </w:r>
      <w:r w:rsidR="00080301" w:rsidRPr="00080301">
        <w:t>15</w:t>
      </w:r>
      <w:r w:rsidRPr="00080301">
        <w:t>)</w:t>
      </w:r>
    </w:p>
    <w:p w14:paraId="6078F93C" w14:textId="6B0370EC" w:rsidR="00AD106D" w:rsidRPr="00080301" w:rsidRDefault="00AD106D" w:rsidP="00AB2AC6">
      <w:pPr>
        <w:pStyle w:val="Heading2"/>
        <w:numPr>
          <w:ilvl w:val="1"/>
          <w:numId w:val="24"/>
        </w:numPr>
        <w:spacing w:after="0"/>
        <w:jc w:val="both"/>
      </w:pPr>
      <w:r w:rsidRPr="00080301">
        <w:t xml:space="preserve">Pressure Ulcer Case Review (Appendix </w:t>
      </w:r>
      <w:r w:rsidR="00080301" w:rsidRPr="00080301">
        <w:t>16</w:t>
      </w:r>
      <w:r w:rsidRPr="00080301">
        <w:t>)</w:t>
      </w:r>
    </w:p>
    <w:p w14:paraId="41877403" w14:textId="354138E6" w:rsidR="00AD106D" w:rsidRDefault="00AD106D" w:rsidP="00AB2AC6">
      <w:pPr>
        <w:pStyle w:val="Heading2"/>
        <w:numPr>
          <w:ilvl w:val="1"/>
          <w:numId w:val="24"/>
        </w:numPr>
        <w:spacing w:after="0"/>
        <w:jc w:val="both"/>
      </w:pPr>
      <w:r w:rsidRPr="00080301">
        <w:t xml:space="preserve">SSI Case Review (Appendix </w:t>
      </w:r>
      <w:r w:rsidR="00080301" w:rsidRPr="00080301">
        <w:t>17</w:t>
      </w:r>
      <w:r w:rsidRPr="00080301">
        <w:t>)</w:t>
      </w:r>
    </w:p>
    <w:p w14:paraId="18145006" w14:textId="77777777" w:rsidR="00C72EAE" w:rsidRPr="00080301" w:rsidRDefault="00C72EAE" w:rsidP="00C72EAE">
      <w:pPr>
        <w:pStyle w:val="Heading2"/>
        <w:numPr>
          <w:ilvl w:val="0"/>
          <w:numId w:val="0"/>
        </w:numPr>
        <w:spacing w:after="0"/>
        <w:ind w:left="1842"/>
        <w:jc w:val="both"/>
      </w:pPr>
    </w:p>
    <w:p w14:paraId="652DDCCB" w14:textId="148FF586" w:rsidR="00844EC1" w:rsidRDefault="00844EC1" w:rsidP="00AB2AC6">
      <w:pPr>
        <w:pStyle w:val="Heading2"/>
        <w:numPr>
          <w:ilvl w:val="0"/>
          <w:numId w:val="24"/>
        </w:numPr>
        <w:spacing w:after="0"/>
        <w:jc w:val="both"/>
        <w:rPr>
          <w:b/>
          <w:bCs/>
        </w:rPr>
      </w:pPr>
      <w:r w:rsidRPr="00C64A17">
        <w:rPr>
          <w:b/>
          <w:bCs/>
        </w:rPr>
        <w:t xml:space="preserve">KSI </w:t>
      </w:r>
      <w:r w:rsidRPr="00080301">
        <w:rPr>
          <w:b/>
          <w:bCs/>
        </w:rPr>
        <w:t xml:space="preserve">Review </w:t>
      </w:r>
      <w:r w:rsidR="00703F6C" w:rsidRPr="00080301">
        <w:rPr>
          <w:b/>
          <w:bCs/>
        </w:rPr>
        <w:t xml:space="preserve">(Appendix </w:t>
      </w:r>
      <w:r w:rsidR="00080301" w:rsidRPr="00080301">
        <w:rPr>
          <w:b/>
          <w:bCs/>
        </w:rPr>
        <w:t>13</w:t>
      </w:r>
      <w:r w:rsidR="00703F6C" w:rsidRPr="00080301">
        <w:rPr>
          <w:b/>
          <w:bCs/>
        </w:rPr>
        <w:t>)</w:t>
      </w:r>
    </w:p>
    <w:p w14:paraId="1EE7CB4C" w14:textId="2B73A28D" w:rsidR="00703F6C" w:rsidRDefault="00703F6C" w:rsidP="00E61DD1">
      <w:pPr>
        <w:pStyle w:val="Heading2"/>
        <w:numPr>
          <w:ilvl w:val="0"/>
          <w:numId w:val="0"/>
        </w:numPr>
        <w:spacing w:after="0"/>
        <w:ind w:left="1122"/>
        <w:jc w:val="both"/>
      </w:pPr>
      <w:r>
        <w:t>The Key Safety Indicators (KSI) process</w:t>
      </w:r>
      <w:r w:rsidR="002337D0">
        <w:t xml:space="preserve"> </w:t>
      </w:r>
      <w:r w:rsidR="002D0BCE">
        <w:t>uses</w:t>
      </w:r>
      <w:r w:rsidR="002337D0">
        <w:t xml:space="preserve"> the r</w:t>
      </w:r>
      <w:r w:rsidR="002337D0" w:rsidRPr="002337D0">
        <w:t xml:space="preserve">ound table </w:t>
      </w:r>
      <w:r w:rsidR="002337D0">
        <w:t xml:space="preserve">or </w:t>
      </w:r>
      <w:r w:rsidR="002337D0" w:rsidRPr="002337D0">
        <w:t xml:space="preserve">MDT </w:t>
      </w:r>
      <w:r w:rsidR="002337D0">
        <w:t>m</w:t>
      </w:r>
      <w:r w:rsidR="002337D0" w:rsidRPr="002337D0">
        <w:t>eeting</w:t>
      </w:r>
      <w:r w:rsidR="002337D0">
        <w:t xml:space="preserve"> methodology </w:t>
      </w:r>
      <w:r w:rsidR="00BD75C4">
        <w:t>and will</w:t>
      </w:r>
      <w:r>
        <w:t xml:space="preserve"> involve a review of the following incident types:</w:t>
      </w:r>
    </w:p>
    <w:p w14:paraId="6925B5C7" w14:textId="77777777" w:rsidR="00304F90" w:rsidRDefault="00304F90" w:rsidP="00E61DD1">
      <w:pPr>
        <w:pStyle w:val="Heading2"/>
        <w:numPr>
          <w:ilvl w:val="0"/>
          <w:numId w:val="0"/>
        </w:numPr>
        <w:spacing w:after="0"/>
        <w:ind w:left="1122"/>
        <w:jc w:val="both"/>
      </w:pPr>
    </w:p>
    <w:p w14:paraId="62A45E4E" w14:textId="63C47353" w:rsidR="00703F6C" w:rsidRDefault="00703F6C" w:rsidP="00AB2AC6">
      <w:pPr>
        <w:pStyle w:val="Heading2"/>
        <w:numPr>
          <w:ilvl w:val="0"/>
          <w:numId w:val="25"/>
        </w:numPr>
        <w:spacing w:after="0"/>
        <w:jc w:val="both"/>
      </w:pPr>
      <w:r>
        <w:t>Unplanned Readmission</w:t>
      </w:r>
    </w:p>
    <w:p w14:paraId="56C2C754" w14:textId="65768D0B" w:rsidR="00703F6C" w:rsidRDefault="00703F6C" w:rsidP="00AB2AC6">
      <w:pPr>
        <w:pStyle w:val="Heading2"/>
        <w:numPr>
          <w:ilvl w:val="0"/>
          <w:numId w:val="25"/>
        </w:numPr>
        <w:spacing w:after="0"/>
        <w:jc w:val="both"/>
      </w:pPr>
      <w:r>
        <w:t>Unplanned Return to Theatre</w:t>
      </w:r>
    </w:p>
    <w:p w14:paraId="0965B810" w14:textId="100DC906" w:rsidR="00703F6C" w:rsidRDefault="00703F6C" w:rsidP="00AB2AC6">
      <w:pPr>
        <w:pStyle w:val="Heading2"/>
        <w:numPr>
          <w:ilvl w:val="0"/>
          <w:numId w:val="25"/>
        </w:numPr>
        <w:spacing w:after="0"/>
        <w:jc w:val="both"/>
      </w:pPr>
      <w:r>
        <w:t>Unplanned Transfer Out (which will also include unplanned internal transfer to ITU for our Level 3 sites)</w:t>
      </w:r>
    </w:p>
    <w:p w14:paraId="73CA0288" w14:textId="77777777" w:rsidR="00C47711" w:rsidRDefault="00C47711" w:rsidP="00E61DD1">
      <w:pPr>
        <w:pStyle w:val="Heading2"/>
        <w:numPr>
          <w:ilvl w:val="0"/>
          <w:numId w:val="0"/>
        </w:numPr>
        <w:spacing w:after="0"/>
        <w:ind w:left="762" w:firstLine="360"/>
        <w:jc w:val="both"/>
      </w:pPr>
    </w:p>
    <w:p w14:paraId="1E6C3375" w14:textId="65FB73BD" w:rsidR="00703F6C" w:rsidRDefault="00703F6C" w:rsidP="00E61DD1">
      <w:pPr>
        <w:pStyle w:val="Heading2"/>
        <w:numPr>
          <w:ilvl w:val="0"/>
          <w:numId w:val="0"/>
        </w:numPr>
        <w:spacing w:after="0"/>
        <w:ind w:left="1122"/>
        <w:jc w:val="both"/>
      </w:pPr>
      <w:r>
        <w:t xml:space="preserve">The hospital will hold a </w:t>
      </w:r>
      <w:r w:rsidR="006A02C3">
        <w:t>regular</w:t>
      </w:r>
      <w:r w:rsidR="002D0BCE">
        <w:t xml:space="preserve"> (at least monthly</w:t>
      </w:r>
      <w:r w:rsidR="002D0BCE">
        <w:softHyphen/>
        <w:t>)</w:t>
      </w:r>
      <w:r w:rsidR="006A02C3">
        <w:t xml:space="preserve"> </w:t>
      </w:r>
      <w:r>
        <w:t xml:space="preserve">KSI meeting (attended by key leads) which will look at each of the incidents reported focussing on the key aspects of the patient’s journey as detailed in the KSI </w:t>
      </w:r>
      <w:r w:rsidRPr="00080301">
        <w:t xml:space="preserve">TOR (Appendix </w:t>
      </w:r>
      <w:r w:rsidR="00080301" w:rsidRPr="00080301">
        <w:t>10</w:t>
      </w:r>
      <w:r w:rsidRPr="00080301">
        <w:t>).</w:t>
      </w:r>
    </w:p>
    <w:p w14:paraId="452D638E" w14:textId="5B63A671" w:rsidR="00C47711" w:rsidRDefault="00703F6C" w:rsidP="00E61DD1">
      <w:pPr>
        <w:pStyle w:val="Heading2"/>
        <w:numPr>
          <w:ilvl w:val="0"/>
          <w:numId w:val="0"/>
        </w:numPr>
        <w:spacing w:after="0"/>
        <w:ind w:left="762" w:firstLine="360"/>
        <w:jc w:val="both"/>
      </w:pPr>
      <w:r>
        <w:t>Following the</w:t>
      </w:r>
      <w:r w:rsidR="00A652E5">
        <w:t xml:space="preserve"> round table </w:t>
      </w:r>
      <w:r>
        <w:t xml:space="preserve">review the incident can be concluded as avoidable or unavoidable.  </w:t>
      </w:r>
    </w:p>
    <w:p w14:paraId="16CDE222" w14:textId="77777777" w:rsidR="0028454A" w:rsidRDefault="0028454A" w:rsidP="00E61DD1">
      <w:pPr>
        <w:pStyle w:val="Heading2"/>
        <w:numPr>
          <w:ilvl w:val="0"/>
          <w:numId w:val="0"/>
        </w:numPr>
        <w:spacing w:after="0"/>
        <w:ind w:left="762" w:firstLine="360"/>
        <w:jc w:val="both"/>
      </w:pPr>
    </w:p>
    <w:p w14:paraId="67349CFD" w14:textId="7DA263AC" w:rsidR="009C074C" w:rsidRPr="0028454A" w:rsidRDefault="002D0BCE" w:rsidP="00E61DD1">
      <w:pPr>
        <w:pStyle w:val="Heading2"/>
        <w:spacing w:after="0"/>
        <w:jc w:val="both"/>
        <w:rPr>
          <w:b/>
          <w:bCs/>
        </w:rPr>
      </w:pPr>
      <w:r w:rsidRPr="0028454A">
        <w:rPr>
          <w:b/>
          <w:bCs/>
        </w:rPr>
        <w:t xml:space="preserve">Case Review / </w:t>
      </w:r>
      <w:r w:rsidR="008F2800" w:rsidRPr="0028454A">
        <w:rPr>
          <w:b/>
          <w:bCs/>
        </w:rPr>
        <w:t xml:space="preserve">KSI </w:t>
      </w:r>
      <w:r w:rsidRPr="0028454A">
        <w:rPr>
          <w:b/>
          <w:bCs/>
        </w:rPr>
        <w:t xml:space="preserve">Review </w:t>
      </w:r>
      <w:r w:rsidR="009C074C" w:rsidRPr="0028454A">
        <w:rPr>
          <w:b/>
          <w:bCs/>
        </w:rPr>
        <w:t>– Unavoidable incident</w:t>
      </w:r>
    </w:p>
    <w:p w14:paraId="1B5F89AD" w14:textId="0BF18C4F" w:rsidR="004D0B13" w:rsidRDefault="009C074C" w:rsidP="00E61DD1">
      <w:pPr>
        <w:pStyle w:val="Heading2"/>
        <w:numPr>
          <w:ilvl w:val="0"/>
          <w:numId w:val="0"/>
        </w:numPr>
        <w:spacing w:after="0"/>
        <w:ind w:left="762"/>
        <w:jc w:val="both"/>
      </w:pPr>
      <w:r w:rsidRPr="00AD106D">
        <w:t xml:space="preserve">Following the initial review, where an incident is deemed unavoidable the rationale for this should be documented within </w:t>
      </w:r>
      <w:r w:rsidR="00862171">
        <w:t>Datix</w:t>
      </w:r>
      <w:r w:rsidR="00664603">
        <w:t xml:space="preserve"> and where appropriate the actual harm caused downgraded</w:t>
      </w:r>
      <w:r w:rsidRPr="00AD106D">
        <w:t xml:space="preserve">.  The outcome of any review must be recorded on the appropriate template and attached to </w:t>
      </w:r>
      <w:r w:rsidR="00862171">
        <w:t>Datix</w:t>
      </w:r>
      <w:r w:rsidRPr="00AD106D">
        <w:t xml:space="preserve">.  </w:t>
      </w:r>
      <w:r w:rsidR="004D0B13">
        <w:t xml:space="preserve">For unavoidable incidents, the focus on learning should be maintained with any key learnings actioned and shared.  </w:t>
      </w:r>
    </w:p>
    <w:p w14:paraId="23BC14D7" w14:textId="77777777" w:rsidR="00D95289" w:rsidRDefault="00D95289" w:rsidP="00E61DD1">
      <w:pPr>
        <w:pStyle w:val="Heading2"/>
        <w:numPr>
          <w:ilvl w:val="0"/>
          <w:numId w:val="0"/>
        </w:numPr>
        <w:spacing w:after="0"/>
        <w:ind w:left="762"/>
        <w:jc w:val="both"/>
      </w:pPr>
    </w:p>
    <w:p w14:paraId="6E52B637" w14:textId="3B31755C" w:rsidR="009C074C" w:rsidRDefault="0097080D" w:rsidP="00E61DD1">
      <w:pPr>
        <w:pStyle w:val="Heading2"/>
        <w:numPr>
          <w:ilvl w:val="0"/>
          <w:numId w:val="0"/>
        </w:numPr>
        <w:spacing w:after="0"/>
        <w:ind w:left="762"/>
        <w:jc w:val="both"/>
      </w:pPr>
      <w:r>
        <w:t xml:space="preserve">The incident will be closed and will be included in analysis of trends quarterly. </w:t>
      </w:r>
    </w:p>
    <w:p w14:paraId="660FD346" w14:textId="77777777" w:rsidR="004B3C05" w:rsidRDefault="004B3C05" w:rsidP="00E61DD1">
      <w:pPr>
        <w:pStyle w:val="Heading2"/>
        <w:numPr>
          <w:ilvl w:val="0"/>
          <w:numId w:val="0"/>
        </w:numPr>
        <w:spacing w:after="0"/>
        <w:ind w:left="762"/>
        <w:jc w:val="both"/>
      </w:pPr>
    </w:p>
    <w:p w14:paraId="0BABA211" w14:textId="65EA2E7A" w:rsidR="00436A1C" w:rsidRDefault="002D0BCE" w:rsidP="00E61DD1">
      <w:pPr>
        <w:pStyle w:val="Heading2"/>
        <w:spacing w:after="0"/>
        <w:jc w:val="both"/>
        <w:rPr>
          <w:b/>
          <w:bCs/>
        </w:rPr>
      </w:pPr>
      <w:r>
        <w:rPr>
          <w:b/>
          <w:bCs/>
        </w:rPr>
        <w:t xml:space="preserve">Case Review / KSI Review </w:t>
      </w:r>
      <w:r w:rsidRPr="00AD106D">
        <w:rPr>
          <w:b/>
          <w:bCs/>
        </w:rPr>
        <w:t xml:space="preserve">– </w:t>
      </w:r>
      <w:r w:rsidR="00436A1C" w:rsidRPr="00604DBF">
        <w:rPr>
          <w:b/>
          <w:bCs/>
        </w:rPr>
        <w:t xml:space="preserve">Avoidable incident </w:t>
      </w:r>
    </w:p>
    <w:p w14:paraId="680ABCA0" w14:textId="27B0CAA8" w:rsidR="00BD75C4" w:rsidRDefault="002D0BCE" w:rsidP="00E61DD1">
      <w:pPr>
        <w:pStyle w:val="Heading2"/>
        <w:numPr>
          <w:ilvl w:val="0"/>
          <w:numId w:val="0"/>
        </w:numPr>
        <w:spacing w:after="0"/>
        <w:ind w:left="762"/>
        <w:jc w:val="both"/>
      </w:pPr>
      <w:r w:rsidRPr="00AD106D">
        <w:t>Following the initial review, where an incident is deemed</w:t>
      </w:r>
      <w:r>
        <w:t xml:space="preserve"> </w:t>
      </w:r>
      <w:r w:rsidRPr="00AD106D">
        <w:t>avoidable</w:t>
      </w:r>
      <w:r>
        <w:t>, t</w:t>
      </w:r>
      <w:r w:rsidRPr="002D0BCE">
        <w:t xml:space="preserve">he outcome must be recorded on the appropriate template and </w:t>
      </w:r>
      <w:r w:rsidR="00BD75C4" w:rsidRPr="00BD75C4">
        <w:t xml:space="preserve">escalated </w:t>
      </w:r>
      <w:r w:rsidR="00664603">
        <w:t>to the Patient Safety Incident Review Group (PSIRG)</w:t>
      </w:r>
      <w:r w:rsidR="00BD75C4" w:rsidRPr="00BD75C4">
        <w:t xml:space="preserve"> and further investigation will be determined and undertaken. </w:t>
      </w:r>
    </w:p>
    <w:p w14:paraId="478A10D5" w14:textId="30C6E658" w:rsidR="00D95289" w:rsidRPr="00BD75C4" w:rsidRDefault="00D95289" w:rsidP="00E61DD1">
      <w:pPr>
        <w:pStyle w:val="Heading2"/>
        <w:numPr>
          <w:ilvl w:val="0"/>
          <w:numId w:val="0"/>
        </w:numPr>
        <w:spacing w:after="0"/>
        <w:ind w:left="762"/>
        <w:jc w:val="both"/>
      </w:pPr>
    </w:p>
    <w:p w14:paraId="0DE5C313" w14:textId="06F56D28" w:rsidR="00BD75C4" w:rsidRDefault="00BD75C4" w:rsidP="00E61DD1">
      <w:pPr>
        <w:pStyle w:val="Heading2"/>
        <w:spacing w:after="0"/>
        <w:jc w:val="both"/>
        <w:rPr>
          <w:b/>
          <w:bCs/>
        </w:rPr>
      </w:pPr>
      <w:r>
        <w:rPr>
          <w:b/>
          <w:bCs/>
        </w:rPr>
        <w:t>Patient safety incident response</w:t>
      </w:r>
    </w:p>
    <w:p w14:paraId="1EE5E9AA" w14:textId="57F012FD" w:rsidR="00C423F2" w:rsidRDefault="00C423F2" w:rsidP="00C423F2">
      <w:pPr>
        <w:pStyle w:val="Heading2"/>
        <w:numPr>
          <w:ilvl w:val="0"/>
          <w:numId w:val="0"/>
        </w:numPr>
        <w:spacing w:after="0"/>
        <w:ind w:left="762"/>
        <w:jc w:val="both"/>
        <w:rPr>
          <w:b/>
          <w:bCs/>
        </w:rPr>
      </w:pPr>
    </w:p>
    <w:p w14:paraId="15AFDA49" w14:textId="2775DA51" w:rsidR="007431B2" w:rsidRPr="00AD106D" w:rsidRDefault="007431B2" w:rsidP="00AB2AC6">
      <w:pPr>
        <w:pStyle w:val="Heading2"/>
        <w:numPr>
          <w:ilvl w:val="0"/>
          <w:numId w:val="24"/>
        </w:numPr>
        <w:spacing w:after="0"/>
        <w:jc w:val="both"/>
        <w:rPr>
          <w:b/>
          <w:bCs/>
          <w:u w:val="single"/>
        </w:rPr>
      </w:pPr>
      <w:r w:rsidRPr="00AD106D">
        <w:rPr>
          <w:b/>
          <w:bCs/>
          <w:u w:val="single"/>
        </w:rPr>
        <w:t>PSIIs (as defined in Plan)</w:t>
      </w:r>
    </w:p>
    <w:p w14:paraId="495CB7F6" w14:textId="3F765F34" w:rsidR="00703F6C" w:rsidRDefault="002641A9" w:rsidP="00E61DD1">
      <w:pPr>
        <w:pStyle w:val="Heading2"/>
        <w:numPr>
          <w:ilvl w:val="0"/>
          <w:numId w:val="0"/>
        </w:numPr>
        <w:spacing w:after="0"/>
        <w:ind w:left="1122"/>
        <w:jc w:val="both"/>
      </w:pPr>
      <w:r>
        <w:t xml:space="preserve">Following a reported PSII, the Hospital Director/ Unit Manager or Director of Clinical Services will appoint a </w:t>
      </w:r>
      <w:r w:rsidR="00E05AC5">
        <w:t>colleague</w:t>
      </w:r>
      <w:r>
        <w:t xml:space="preserve"> to undertake the </w:t>
      </w:r>
      <w:r w:rsidR="0090210B">
        <w:t>incident response</w:t>
      </w:r>
      <w:r w:rsidR="006759FF">
        <w:t xml:space="preserve"> within 60 working days</w:t>
      </w:r>
      <w:r>
        <w:t xml:space="preserve">. </w:t>
      </w:r>
    </w:p>
    <w:p w14:paraId="5F369AF3" w14:textId="77777777" w:rsidR="00D95289" w:rsidRDefault="00D95289" w:rsidP="00E61DD1">
      <w:pPr>
        <w:pStyle w:val="Heading2"/>
        <w:numPr>
          <w:ilvl w:val="0"/>
          <w:numId w:val="0"/>
        </w:numPr>
        <w:spacing w:after="0"/>
        <w:ind w:left="1122"/>
        <w:jc w:val="both"/>
      </w:pPr>
    </w:p>
    <w:p w14:paraId="41DCC351" w14:textId="4907779C" w:rsidR="00B838EA" w:rsidRPr="00AD106D" w:rsidRDefault="002641A9" w:rsidP="00AB2AC6">
      <w:pPr>
        <w:pStyle w:val="Heading2"/>
        <w:numPr>
          <w:ilvl w:val="0"/>
          <w:numId w:val="24"/>
        </w:numPr>
        <w:spacing w:after="0"/>
        <w:jc w:val="both"/>
        <w:rPr>
          <w:b/>
          <w:bCs/>
        </w:rPr>
      </w:pPr>
      <w:r w:rsidRPr="00AD106D">
        <w:rPr>
          <w:b/>
          <w:bCs/>
        </w:rPr>
        <w:t xml:space="preserve">All </w:t>
      </w:r>
      <w:r w:rsidR="002639CC">
        <w:rPr>
          <w:b/>
          <w:bCs/>
        </w:rPr>
        <w:t xml:space="preserve">avoidable </w:t>
      </w:r>
      <w:r w:rsidRPr="00AD106D">
        <w:rPr>
          <w:b/>
          <w:bCs/>
        </w:rPr>
        <w:t xml:space="preserve">Incidents (including near misses) falling below the threshold of a PSII </w:t>
      </w:r>
    </w:p>
    <w:p w14:paraId="67F841DC" w14:textId="2F8B5EBF" w:rsidR="002641A9" w:rsidRDefault="00B838EA" w:rsidP="00E61DD1">
      <w:pPr>
        <w:pStyle w:val="Heading2"/>
        <w:numPr>
          <w:ilvl w:val="0"/>
          <w:numId w:val="0"/>
        </w:numPr>
        <w:spacing w:after="0"/>
        <w:ind w:left="1121"/>
        <w:jc w:val="both"/>
      </w:pPr>
      <w:r>
        <w:t xml:space="preserve">All </w:t>
      </w:r>
      <w:r w:rsidR="002639CC">
        <w:t xml:space="preserve">avoidable </w:t>
      </w:r>
      <w:r>
        <w:t xml:space="preserve">incidents </w:t>
      </w:r>
      <w:r w:rsidR="002641A9">
        <w:t xml:space="preserve">will require </w:t>
      </w:r>
      <w:r w:rsidR="00A060DD">
        <w:t xml:space="preserve">an </w:t>
      </w:r>
      <w:r w:rsidR="0090210B">
        <w:t>incident response</w:t>
      </w:r>
      <w:r w:rsidR="002641A9">
        <w:t xml:space="preserve"> by an appropriate</w:t>
      </w:r>
      <w:r w:rsidR="00DB0520">
        <w:t>ly trained</w:t>
      </w:r>
      <w:r w:rsidR="002641A9">
        <w:t xml:space="preserve"> </w:t>
      </w:r>
      <w:r>
        <w:t>colleague</w:t>
      </w:r>
      <w:r w:rsidR="002641A9">
        <w:t xml:space="preserve"> to ensure that any learning from the event and subsequent actions are completed. The methods of </w:t>
      </w:r>
      <w:r w:rsidR="0090210B">
        <w:t>incident response</w:t>
      </w:r>
      <w:r w:rsidR="00A060DD">
        <w:t xml:space="preserve">s </w:t>
      </w:r>
      <w:r w:rsidR="002641A9">
        <w:t>can include those detailed in Spire Healthcare’s PSIRF Plan</w:t>
      </w:r>
      <w:r w:rsidR="00A82B90">
        <w:t xml:space="preserve"> and are listed as follows:</w:t>
      </w:r>
      <w:r w:rsidR="002641A9">
        <w:t xml:space="preserve"> </w:t>
      </w:r>
    </w:p>
    <w:p w14:paraId="27CFF50C" w14:textId="193930DB" w:rsidR="00A82B90" w:rsidRPr="00A82B90" w:rsidRDefault="00A82B90" w:rsidP="00AB2AC6">
      <w:pPr>
        <w:pStyle w:val="ListParagraph"/>
        <w:numPr>
          <w:ilvl w:val="0"/>
          <w:numId w:val="17"/>
        </w:numPr>
        <w:jc w:val="both"/>
        <w:rPr>
          <w:rFonts w:asciiTheme="majorHAnsi" w:eastAsia="Calibri" w:hAnsiTheme="majorHAnsi" w:cstheme="majorHAnsi"/>
          <w:szCs w:val="24"/>
        </w:rPr>
      </w:pPr>
      <w:r w:rsidRPr="00A82B90">
        <w:rPr>
          <w:rFonts w:asciiTheme="majorHAnsi" w:eastAsia="Calibri" w:hAnsiTheme="majorHAnsi" w:cstheme="majorHAnsi"/>
          <w:szCs w:val="24"/>
        </w:rPr>
        <w:t xml:space="preserve">Swarm </w:t>
      </w:r>
      <w:r w:rsidR="004B3C05" w:rsidRPr="00A82B90">
        <w:rPr>
          <w:rFonts w:asciiTheme="majorHAnsi" w:eastAsia="Calibri" w:hAnsiTheme="majorHAnsi" w:cstheme="majorHAnsi"/>
          <w:szCs w:val="24"/>
        </w:rPr>
        <w:t>huddle.</w:t>
      </w:r>
    </w:p>
    <w:p w14:paraId="6FF8A626" w14:textId="37AF639A" w:rsidR="00A82B90" w:rsidRPr="00A82B90" w:rsidRDefault="00A82B90" w:rsidP="00AB2AC6">
      <w:pPr>
        <w:pStyle w:val="ListParagraph"/>
        <w:numPr>
          <w:ilvl w:val="0"/>
          <w:numId w:val="17"/>
        </w:numPr>
        <w:jc w:val="both"/>
        <w:rPr>
          <w:rFonts w:asciiTheme="majorHAnsi" w:eastAsia="Calibri" w:hAnsiTheme="majorHAnsi" w:cstheme="majorHAnsi"/>
          <w:szCs w:val="24"/>
        </w:rPr>
      </w:pPr>
      <w:r w:rsidRPr="00A82B90">
        <w:rPr>
          <w:rFonts w:asciiTheme="majorHAnsi" w:eastAsia="Calibri" w:hAnsiTheme="majorHAnsi" w:cstheme="majorHAnsi"/>
          <w:szCs w:val="24"/>
        </w:rPr>
        <w:t xml:space="preserve">After </w:t>
      </w:r>
      <w:r w:rsidR="00D47EC0">
        <w:rPr>
          <w:rFonts w:asciiTheme="majorHAnsi" w:eastAsia="Calibri" w:hAnsiTheme="majorHAnsi" w:cstheme="majorHAnsi"/>
          <w:szCs w:val="24"/>
        </w:rPr>
        <w:t>A</w:t>
      </w:r>
      <w:r w:rsidRPr="00A82B90">
        <w:rPr>
          <w:rFonts w:asciiTheme="majorHAnsi" w:eastAsia="Calibri" w:hAnsiTheme="majorHAnsi" w:cstheme="majorHAnsi"/>
          <w:szCs w:val="24"/>
        </w:rPr>
        <w:t>ction Review</w:t>
      </w:r>
    </w:p>
    <w:p w14:paraId="5575A80F" w14:textId="4ACBC435" w:rsidR="003E12A3" w:rsidRDefault="00A82B90" w:rsidP="00AB2AC6">
      <w:pPr>
        <w:pStyle w:val="ListParagraph"/>
        <w:numPr>
          <w:ilvl w:val="0"/>
          <w:numId w:val="17"/>
        </w:numPr>
        <w:jc w:val="both"/>
        <w:rPr>
          <w:rFonts w:asciiTheme="majorHAnsi" w:eastAsia="Calibri" w:hAnsiTheme="majorHAnsi" w:cstheme="majorHAnsi"/>
          <w:szCs w:val="24"/>
        </w:rPr>
      </w:pPr>
      <w:r w:rsidRPr="00A82B90">
        <w:rPr>
          <w:rFonts w:asciiTheme="majorHAnsi" w:eastAsia="Calibri" w:hAnsiTheme="majorHAnsi" w:cstheme="majorHAnsi"/>
          <w:szCs w:val="24"/>
        </w:rPr>
        <w:t>Round table (MDT Meeting in NHS England PSIRF Framework)</w:t>
      </w:r>
    </w:p>
    <w:p w14:paraId="77CCDFCB" w14:textId="0B5BA39D" w:rsidR="00BC250C" w:rsidRPr="003E12A3" w:rsidRDefault="00BC250C" w:rsidP="00BC250C">
      <w:pPr>
        <w:pStyle w:val="ListParagraph"/>
        <w:ind w:left="1481"/>
        <w:jc w:val="both"/>
        <w:rPr>
          <w:rFonts w:asciiTheme="majorHAnsi" w:eastAsia="Calibri" w:hAnsiTheme="majorHAnsi" w:cstheme="majorHAnsi"/>
          <w:szCs w:val="24"/>
        </w:rPr>
      </w:pPr>
    </w:p>
    <w:p w14:paraId="011771D3" w14:textId="34C2E836" w:rsidR="009C074C" w:rsidRDefault="009C074C" w:rsidP="00E61DD1">
      <w:pPr>
        <w:pStyle w:val="Heading2"/>
        <w:spacing w:after="0"/>
        <w:jc w:val="both"/>
        <w:rPr>
          <w:b/>
          <w:bCs/>
        </w:rPr>
      </w:pPr>
      <w:r w:rsidRPr="00703F6C">
        <w:rPr>
          <w:b/>
          <w:bCs/>
        </w:rPr>
        <w:t>Trend analysis and Thematic Reviews</w:t>
      </w:r>
    </w:p>
    <w:p w14:paraId="1ABC5008" w14:textId="77777777" w:rsidR="00BC250C" w:rsidRDefault="00BC250C" w:rsidP="00E61DD1">
      <w:pPr>
        <w:pStyle w:val="Heading2"/>
        <w:numPr>
          <w:ilvl w:val="0"/>
          <w:numId w:val="0"/>
        </w:numPr>
        <w:spacing w:after="0"/>
        <w:ind w:left="762"/>
        <w:jc w:val="both"/>
      </w:pPr>
    </w:p>
    <w:p w14:paraId="4D12C32B" w14:textId="076AAF33" w:rsidR="009C074C" w:rsidRDefault="009C074C" w:rsidP="00E61DD1">
      <w:pPr>
        <w:pStyle w:val="Heading2"/>
        <w:numPr>
          <w:ilvl w:val="0"/>
          <w:numId w:val="0"/>
        </w:numPr>
        <w:spacing w:after="0"/>
        <w:ind w:left="762"/>
        <w:jc w:val="both"/>
      </w:pPr>
      <w:r>
        <w:t xml:space="preserve">All incidents logged on to </w:t>
      </w:r>
      <w:r w:rsidR="00862171">
        <w:t>Datix</w:t>
      </w:r>
      <w:r>
        <w:t xml:space="preserve"> will be regularly analysed for trends and considered for thematic reviews.  </w:t>
      </w:r>
    </w:p>
    <w:p w14:paraId="770A0FBB" w14:textId="2DDDFA43" w:rsidR="006E2F01" w:rsidRDefault="00341668" w:rsidP="00E61DD1">
      <w:pPr>
        <w:pStyle w:val="Heading2"/>
        <w:numPr>
          <w:ilvl w:val="0"/>
          <w:numId w:val="0"/>
        </w:numPr>
        <w:spacing w:after="0"/>
        <w:ind w:left="762"/>
        <w:jc w:val="both"/>
      </w:pPr>
      <w:r>
        <w:t xml:space="preserve">A </w:t>
      </w:r>
      <w:r w:rsidR="006E2F01" w:rsidRPr="006E2F01">
        <w:t xml:space="preserve">trend reporting programme </w:t>
      </w:r>
      <w:r>
        <w:t xml:space="preserve">will be </w:t>
      </w:r>
      <w:r w:rsidR="004B3C05">
        <w:t>developed,</w:t>
      </w:r>
      <w:r>
        <w:t xml:space="preserve"> and a f</w:t>
      </w:r>
      <w:r w:rsidRPr="005201CE">
        <w:t>ocussed learning report</w:t>
      </w:r>
      <w:r>
        <w:t xml:space="preserve"> will be produced based on the thematic reviews and will be presented to the Safety, Quality and Risk Committee</w:t>
      </w:r>
      <w:r w:rsidR="00571F16">
        <w:t xml:space="preserve"> (SQR)</w:t>
      </w:r>
      <w:r>
        <w:t xml:space="preserve">.   </w:t>
      </w:r>
    </w:p>
    <w:p w14:paraId="1674C155" w14:textId="1B7DEB86" w:rsidR="000E4047" w:rsidRDefault="000E4047" w:rsidP="00E61DD1">
      <w:pPr>
        <w:pStyle w:val="Heading2"/>
        <w:numPr>
          <w:ilvl w:val="0"/>
          <w:numId w:val="0"/>
        </w:numPr>
        <w:spacing w:after="0"/>
        <w:ind w:left="762"/>
        <w:jc w:val="both"/>
      </w:pPr>
    </w:p>
    <w:p w14:paraId="63309C67" w14:textId="6150FBDE" w:rsidR="00436A1C" w:rsidRDefault="00C47711" w:rsidP="00E61DD1">
      <w:pPr>
        <w:pStyle w:val="Heading2"/>
        <w:spacing w:after="0"/>
        <w:jc w:val="both"/>
        <w:rPr>
          <w:b/>
          <w:bCs/>
        </w:rPr>
      </w:pPr>
      <w:r w:rsidRPr="00080301">
        <w:rPr>
          <w:b/>
          <w:bCs/>
        </w:rPr>
        <w:t>Monitoring and Reporting</w:t>
      </w:r>
    </w:p>
    <w:p w14:paraId="49AB6F07" w14:textId="19986E9D" w:rsidR="007605BA" w:rsidRDefault="007605BA" w:rsidP="00E61DD1">
      <w:pPr>
        <w:pStyle w:val="Heading2"/>
        <w:numPr>
          <w:ilvl w:val="0"/>
          <w:numId w:val="0"/>
        </w:numPr>
        <w:spacing w:after="0"/>
        <w:ind w:left="762"/>
        <w:jc w:val="both"/>
      </w:pPr>
    </w:p>
    <w:p w14:paraId="3A038311" w14:textId="7D8A4050" w:rsidR="002641A9" w:rsidRDefault="002641A9" w:rsidP="00E61DD1">
      <w:pPr>
        <w:pStyle w:val="Heading2"/>
        <w:numPr>
          <w:ilvl w:val="0"/>
          <w:numId w:val="0"/>
        </w:numPr>
        <w:spacing w:after="0"/>
        <w:ind w:left="762"/>
        <w:jc w:val="both"/>
      </w:pPr>
      <w:r>
        <w:t xml:space="preserve">The national </w:t>
      </w:r>
      <w:r w:rsidR="00A82B90">
        <w:t>Patient Safety Incident Response Group</w:t>
      </w:r>
      <w:r>
        <w:t xml:space="preserve"> (</w:t>
      </w:r>
      <w:r w:rsidR="00A82B90">
        <w:t>PSIRG)</w:t>
      </w:r>
      <w:r>
        <w:t xml:space="preserve"> </w:t>
      </w:r>
      <w:r w:rsidR="00113D46">
        <w:t xml:space="preserve">members are assigned </w:t>
      </w:r>
      <w:r w:rsidR="005B0A69">
        <w:t xml:space="preserve">to </w:t>
      </w:r>
      <w:r>
        <w:t>review</w:t>
      </w:r>
      <w:r w:rsidR="00CA344F">
        <w:t xml:space="preserve"> and approve</w:t>
      </w:r>
      <w:r>
        <w:t xml:space="preserve"> every reported Patient Safety Incident </w:t>
      </w:r>
      <w:r w:rsidR="00A060DD">
        <w:t>Investigation</w:t>
      </w:r>
      <w:r>
        <w:t xml:space="preserve"> (PSII) submitted by</w:t>
      </w:r>
      <w:r w:rsidR="00C54E16">
        <w:t xml:space="preserve"> hospitals</w:t>
      </w:r>
      <w:r w:rsidR="00CA344F">
        <w:t xml:space="preserve"> within 5 working days</w:t>
      </w:r>
      <w:r>
        <w:t xml:space="preserve">. The </w:t>
      </w:r>
      <w:r w:rsidR="00A82B90">
        <w:t>PSIRG</w:t>
      </w:r>
      <w:r>
        <w:t xml:space="preserve"> recommends national actions, such as changes to policy, </w:t>
      </w:r>
      <w:r w:rsidR="004B3C05">
        <w:t>training,</w:t>
      </w:r>
      <w:r>
        <w:t xml:space="preserve"> or care pathways, arising from individual incidents or trends, and these are reported to </w:t>
      </w:r>
      <w:r w:rsidR="00571F16">
        <w:t>SQR.</w:t>
      </w:r>
    </w:p>
    <w:p w14:paraId="707C2461" w14:textId="77777777" w:rsidR="002C71CE" w:rsidRDefault="002C71CE" w:rsidP="00E61DD1">
      <w:pPr>
        <w:pStyle w:val="Heading2"/>
        <w:numPr>
          <w:ilvl w:val="0"/>
          <w:numId w:val="0"/>
        </w:numPr>
        <w:spacing w:after="0"/>
        <w:ind w:left="762"/>
        <w:jc w:val="both"/>
      </w:pPr>
    </w:p>
    <w:p w14:paraId="1A53935A" w14:textId="775F99CA" w:rsidR="002641A9" w:rsidRDefault="002641A9" w:rsidP="00E61DD1">
      <w:pPr>
        <w:pStyle w:val="Heading2"/>
        <w:numPr>
          <w:ilvl w:val="0"/>
          <w:numId w:val="0"/>
        </w:numPr>
        <w:spacing w:after="0"/>
        <w:ind w:left="762"/>
        <w:jc w:val="both"/>
      </w:pPr>
      <w:r>
        <w:t xml:space="preserve">The Spire </w:t>
      </w:r>
      <w:r w:rsidR="00C54E16">
        <w:t xml:space="preserve">Healthcare </w:t>
      </w:r>
      <w:r>
        <w:t xml:space="preserve">Executive </w:t>
      </w:r>
      <w:r w:rsidR="00D47EC0">
        <w:t xml:space="preserve">Committee </w:t>
      </w:r>
      <w:r>
        <w:t xml:space="preserve">receives </w:t>
      </w:r>
      <w:r w:rsidR="0030389D">
        <w:t>weekly r</w:t>
      </w:r>
      <w:r>
        <w:t xml:space="preserve">eports of PSII and other enhanced patient safety incident </w:t>
      </w:r>
      <w:r w:rsidR="0090210B">
        <w:t>response</w:t>
      </w:r>
      <w:r>
        <w:t>s which are also monitored by the</w:t>
      </w:r>
      <w:r w:rsidR="00C54E16">
        <w:t xml:space="preserve"> Safety, Quality and Risk Committee </w:t>
      </w:r>
      <w:r>
        <w:t xml:space="preserve">and the </w:t>
      </w:r>
      <w:r w:rsidR="00C54E16">
        <w:t xml:space="preserve">Clinical Governance and </w:t>
      </w:r>
      <w:r w:rsidR="00235B96">
        <w:t xml:space="preserve">Safety </w:t>
      </w:r>
      <w:r w:rsidR="00C54E16">
        <w:t>Committee</w:t>
      </w:r>
      <w:r>
        <w:t>.</w:t>
      </w:r>
    </w:p>
    <w:p w14:paraId="5D41B814" w14:textId="62832281" w:rsidR="002C71CE" w:rsidRDefault="002C71CE" w:rsidP="00E61DD1">
      <w:pPr>
        <w:pStyle w:val="Heading2"/>
        <w:numPr>
          <w:ilvl w:val="0"/>
          <w:numId w:val="0"/>
        </w:numPr>
        <w:spacing w:after="0"/>
        <w:ind w:left="762"/>
        <w:jc w:val="both"/>
      </w:pPr>
    </w:p>
    <w:p w14:paraId="7D5D59B7" w14:textId="6434A9C5" w:rsidR="00B41891" w:rsidRDefault="00B41891" w:rsidP="00E61DD1">
      <w:pPr>
        <w:pStyle w:val="Heading2"/>
        <w:numPr>
          <w:ilvl w:val="0"/>
          <w:numId w:val="0"/>
        </w:numPr>
        <w:spacing w:after="0"/>
        <w:ind w:left="762"/>
        <w:jc w:val="both"/>
      </w:pPr>
      <w:r w:rsidRPr="008332D9">
        <w:t>Incident data will be reviewed regularly</w:t>
      </w:r>
      <w:r w:rsidR="00C741FE" w:rsidRPr="008332D9">
        <w:t xml:space="preserve"> (weekly)</w:t>
      </w:r>
      <w:r w:rsidRPr="008332D9">
        <w:t xml:space="preserve"> within the National Integrated Quality Governance Team to ensure data integrity, </w:t>
      </w:r>
      <w:r w:rsidR="003D2978" w:rsidRPr="008332D9">
        <w:t>quality</w:t>
      </w:r>
      <w:r w:rsidR="00724AC2">
        <w:t xml:space="preserve"> (including quality of actions)</w:t>
      </w:r>
      <w:r w:rsidR="003D2978" w:rsidRPr="008332D9">
        <w:t>,</w:t>
      </w:r>
      <w:r w:rsidRPr="008332D9">
        <w:t xml:space="preserve"> and </w:t>
      </w:r>
      <w:r w:rsidR="00003790" w:rsidRPr="008332D9">
        <w:t>compliance</w:t>
      </w:r>
      <w:r w:rsidR="008A6747">
        <w:t xml:space="preserve"> with timeframes</w:t>
      </w:r>
      <w:r w:rsidRPr="008332D9">
        <w:t xml:space="preserve">. This structured approach to incident data monitoring will make sure that the reported incident data is </w:t>
      </w:r>
      <w:r w:rsidR="00003790" w:rsidRPr="008332D9">
        <w:t xml:space="preserve">correctly represented on the incident reporting system. </w:t>
      </w:r>
      <w:r w:rsidR="00C741FE" w:rsidRPr="008332D9">
        <w:t>As part of the data validation process a</w:t>
      </w:r>
      <w:r w:rsidR="00003790" w:rsidRPr="008332D9">
        <w:t xml:space="preserve">ssistance and guidance will be provided to </w:t>
      </w:r>
      <w:r w:rsidRPr="008332D9">
        <w:t xml:space="preserve">individual hospital sites </w:t>
      </w:r>
      <w:r w:rsidR="00C741FE" w:rsidRPr="008332D9">
        <w:t>(</w:t>
      </w:r>
      <w:r w:rsidRPr="008332D9">
        <w:t>where required</w:t>
      </w:r>
      <w:r w:rsidR="00C741FE" w:rsidRPr="008332D9">
        <w:t>)</w:t>
      </w:r>
      <w:r w:rsidR="008332D9">
        <w:t xml:space="preserve"> </w:t>
      </w:r>
      <w:r w:rsidR="003D2978" w:rsidRPr="008332D9">
        <w:t>to improve incident data</w:t>
      </w:r>
      <w:r w:rsidR="00C741FE" w:rsidRPr="008332D9">
        <w:t xml:space="preserve"> quality</w:t>
      </w:r>
      <w:r w:rsidR="003D2978" w:rsidRPr="008332D9">
        <w:t xml:space="preserve">. </w:t>
      </w:r>
    </w:p>
    <w:p w14:paraId="4EF8D04D" w14:textId="356B220D" w:rsidR="002C71CE" w:rsidRPr="008332D9" w:rsidRDefault="002C71CE" w:rsidP="00E61DD1">
      <w:pPr>
        <w:pStyle w:val="Heading2"/>
        <w:numPr>
          <w:ilvl w:val="0"/>
          <w:numId w:val="0"/>
        </w:numPr>
        <w:spacing w:after="0"/>
        <w:ind w:left="762"/>
        <w:jc w:val="both"/>
      </w:pPr>
    </w:p>
    <w:p w14:paraId="2D135D9F" w14:textId="46890F6C" w:rsidR="009E735F" w:rsidRDefault="00B41891" w:rsidP="00E61DD1">
      <w:pPr>
        <w:pStyle w:val="Heading2"/>
        <w:numPr>
          <w:ilvl w:val="0"/>
          <w:numId w:val="0"/>
        </w:numPr>
        <w:spacing w:after="0"/>
        <w:ind w:left="762"/>
        <w:jc w:val="both"/>
      </w:pPr>
      <w:r w:rsidRPr="008332D9">
        <w:t xml:space="preserve">The National Integrated Quality Governance Team will ensure </w:t>
      </w:r>
      <w:r w:rsidR="00C741FE" w:rsidRPr="008332D9">
        <w:t>regular monitoring</w:t>
      </w:r>
      <w:r w:rsidRPr="008332D9">
        <w:t xml:space="preserve"> </w:t>
      </w:r>
      <w:r w:rsidR="0030389D">
        <w:t xml:space="preserve">of this policy </w:t>
      </w:r>
      <w:r w:rsidR="003D2978" w:rsidRPr="008332D9">
        <w:t xml:space="preserve">and </w:t>
      </w:r>
      <w:r w:rsidRPr="008332D9">
        <w:t>escalat</w:t>
      </w:r>
      <w:r w:rsidR="00C741FE" w:rsidRPr="008332D9">
        <w:t xml:space="preserve">e any episodes </w:t>
      </w:r>
      <w:r w:rsidRPr="008332D9">
        <w:t>of non-compliance</w:t>
      </w:r>
      <w:r w:rsidR="00C741FE" w:rsidRPr="008332D9">
        <w:t xml:space="preserve"> with Spire Healthcare’s incident reporting standards</w:t>
      </w:r>
      <w:r w:rsidR="00322DFC">
        <w:t xml:space="preserve"> through </w:t>
      </w:r>
      <w:r w:rsidR="00513C24">
        <w:t xml:space="preserve">the </w:t>
      </w:r>
      <w:r w:rsidR="00A52BE1" w:rsidRPr="00A52BE1">
        <w:t>ward to board accountability and assurance</w:t>
      </w:r>
      <w:r w:rsidR="00A52BE1">
        <w:t xml:space="preserve"> model</w:t>
      </w:r>
      <w:r w:rsidR="00C741FE" w:rsidRPr="008332D9">
        <w:t xml:space="preserve">. </w:t>
      </w:r>
    </w:p>
    <w:p w14:paraId="5F6B3E6D" w14:textId="5F68BEF4" w:rsidR="004B3C05" w:rsidRDefault="00AB2AC6" w:rsidP="00E61DD1">
      <w:pPr>
        <w:pStyle w:val="Heading2"/>
        <w:numPr>
          <w:ilvl w:val="0"/>
          <w:numId w:val="0"/>
        </w:numPr>
        <w:spacing w:after="0"/>
        <w:ind w:left="762"/>
        <w:jc w:val="both"/>
      </w:pPr>
      <w:r>
        <w:rPr>
          <w:noProof/>
        </w:rPr>
        <w:lastRenderedPageBreak/>
        <w:drawing>
          <wp:anchor distT="0" distB="0" distL="114300" distR="114300" simplePos="0" relativeHeight="251659266" behindDoc="0" locked="0" layoutInCell="1" allowOverlap="1" wp14:anchorId="768BE3BE" wp14:editId="1DC9968B">
            <wp:simplePos x="0" y="0"/>
            <wp:positionH relativeFrom="margin">
              <wp:align>center</wp:align>
            </wp:positionH>
            <wp:positionV relativeFrom="paragraph">
              <wp:posOffset>176530</wp:posOffset>
            </wp:positionV>
            <wp:extent cx="5543550" cy="2773680"/>
            <wp:effectExtent l="0" t="0" r="0" b="0"/>
            <wp:wrapSquare wrapText="bothSides"/>
            <wp:docPr id="11219409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543550" cy="2773680"/>
                    </a:xfrm>
                    <a:prstGeom prst="rect">
                      <a:avLst/>
                    </a:prstGeom>
                    <a:noFill/>
                  </pic:spPr>
                </pic:pic>
              </a:graphicData>
            </a:graphic>
            <wp14:sizeRelH relativeFrom="margin">
              <wp14:pctWidth>0</wp14:pctWidth>
            </wp14:sizeRelH>
            <wp14:sizeRelV relativeFrom="margin">
              <wp14:pctHeight>0</wp14:pctHeight>
            </wp14:sizeRelV>
          </wp:anchor>
        </w:drawing>
      </w:r>
    </w:p>
    <w:p w14:paraId="2477722E" w14:textId="77777777" w:rsidR="004B3C05" w:rsidRDefault="004B3C05" w:rsidP="00E61DD1">
      <w:pPr>
        <w:pStyle w:val="Heading2"/>
        <w:numPr>
          <w:ilvl w:val="0"/>
          <w:numId w:val="0"/>
        </w:numPr>
        <w:spacing w:after="0"/>
        <w:ind w:left="762"/>
        <w:jc w:val="both"/>
      </w:pPr>
    </w:p>
    <w:p w14:paraId="3AC8852F" w14:textId="4E735B66" w:rsidR="004B3C05" w:rsidRDefault="004B3C05" w:rsidP="00E61DD1">
      <w:pPr>
        <w:pStyle w:val="Heading2"/>
        <w:numPr>
          <w:ilvl w:val="0"/>
          <w:numId w:val="0"/>
        </w:numPr>
        <w:spacing w:after="0"/>
        <w:ind w:left="762"/>
        <w:jc w:val="both"/>
      </w:pPr>
    </w:p>
    <w:p w14:paraId="528CBC0C" w14:textId="77777777" w:rsidR="004B3C05" w:rsidRDefault="004B3C05" w:rsidP="00E61DD1">
      <w:pPr>
        <w:pStyle w:val="Heading2"/>
        <w:numPr>
          <w:ilvl w:val="0"/>
          <w:numId w:val="0"/>
        </w:numPr>
        <w:spacing w:after="0"/>
        <w:ind w:left="762"/>
        <w:jc w:val="both"/>
      </w:pPr>
    </w:p>
    <w:p w14:paraId="1B139523" w14:textId="77777777" w:rsidR="004B3C05" w:rsidRDefault="004B3C05" w:rsidP="00E61DD1">
      <w:pPr>
        <w:pStyle w:val="Heading2"/>
        <w:numPr>
          <w:ilvl w:val="0"/>
          <w:numId w:val="0"/>
        </w:numPr>
        <w:spacing w:after="0"/>
        <w:ind w:left="762"/>
        <w:jc w:val="both"/>
      </w:pPr>
    </w:p>
    <w:p w14:paraId="7E2801FC" w14:textId="7237BDAD" w:rsidR="004B3C05" w:rsidRDefault="004B3C05" w:rsidP="00E61DD1">
      <w:pPr>
        <w:pStyle w:val="Heading2"/>
        <w:numPr>
          <w:ilvl w:val="0"/>
          <w:numId w:val="0"/>
        </w:numPr>
        <w:spacing w:after="0"/>
        <w:ind w:left="762"/>
        <w:jc w:val="both"/>
      </w:pPr>
    </w:p>
    <w:p w14:paraId="5A72FA57" w14:textId="77777777" w:rsidR="004B3C05" w:rsidRDefault="004B3C05" w:rsidP="00E61DD1">
      <w:pPr>
        <w:pStyle w:val="Heading2"/>
        <w:numPr>
          <w:ilvl w:val="0"/>
          <w:numId w:val="0"/>
        </w:numPr>
        <w:spacing w:after="0"/>
        <w:ind w:left="762"/>
        <w:jc w:val="both"/>
      </w:pPr>
    </w:p>
    <w:p w14:paraId="3B2064C8" w14:textId="77777777" w:rsidR="004B3C05" w:rsidRDefault="004B3C05" w:rsidP="00E61DD1">
      <w:pPr>
        <w:pStyle w:val="Heading2"/>
        <w:numPr>
          <w:ilvl w:val="0"/>
          <w:numId w:val="0"/>
        </w:numPr>
        <w:spacing w:after="0"/>
        <w:ind w:left="762"/>
        <w:jc w:val="both"/>
      </w:pPr>
    </w:p>
    <w:p w14:paraId="452B5E2F" w14:textId="4568C560" w:rsidR="004B3C05" w:rsidRDefault="004B3C05" w:rsidP="00E61DD1">
      <w:pPr>
        <w:pStyle w:val="Heading2"/>
        <w:numPr>
          <w:ilvl w:val="0"/>
          <w:numId w:val="0"/>
        </w:numPr>
        <w:spacing w:after="0"/>
        <w:ind w:left="762"/>
        <w:jc w:val="both"/>
      </w:pPr>
    </w:p>
    <w:p w14:paraId="583F0100" w14:textId="3AB739EF" w:rsidR="004B3C05" w:rsidRDefault="004B3C05" w:rsidP="00E61DD1">
      <w:pPr>
        <w:pStyle w:val="Heading2"/>
        <w:numPr>
          <w:ilvl w:val="0"/>
          <w:numId w:val="0"/>
        </w:numPr>
        <w:spacing w:after="0"/>
        <w:ind w:left="762"/>
        <w:jc w:val="both"/>
      </w:pPr>
    </w:p>
    <w:p w14:paraId="6636A5C3" w14:textId="77777777" w:rsidR="004B3C05" w:rsidRDefault="004B3C05" w:rsidP="00E61DD1">
      <w:pPr>
        <w:pStyle w:val="Heading2"/>
        <w:numPr>
          <w:ilvl w:val="0"/>
          <w:numId w:val="0"/>
        </w:numPr>
        <w:spacing w:after="0"/>
        <w:ind w:left="762"/>
        <w:jc w:val="both"/>
      </w:pPr>
    </w:p>
    <w:p w14:paraId="34C7C380" w14:textId="77777777" w:rsidR="004B3C05" w:rsidRDefault="004B3C05" w:rsidP="00E61DD1">
      <w:pPr>
        <w:pStyle w:val="Heading2"/>
        <w:numPr>
          <w:ilvl w:val="0"/>
          <w:numId w:val="0"/>
        </w:numPr>
        <w:spacing w:after="0"/>
        <w:ind w:left="762"/>
        <w:jc w:val="both"/>
      </w:pPr>
    </w:p>
    <w:p w14:paraId="61830DB6" w14:textId="77777777" w:rsidR="004B3C05" w:rsidRDefault="004B3C05" w:rsidP="00E61DD1">
      <w:pPr>
        <w:pStyle w:val="Heading2"/>
        <w:numPr>
          <w:ilvl w:val="0"/>
          <w:numId w:val="0"/>
        </w:numPr>
        <w:spacing w:after="0"/>
        <w:ind w:left="762"/>
        <w:jc w:val="both"/>
      </w:pPr>
    </w:p>
    <w:p w14:paraId="74B2A48C" w14:textId="77777777" w:rsidR="004B3C05" w:rsidRDefault="004B3C05" w:rsidP="00E61DD1">
      <w:pPr>
        <w:pStyle w:val="Heading2"/>
        <w:numPr>
          <w:ilvl w:val="0"/>
          <w:numId w:val="0"/>
        </w:numPr>
        <w:spacing w:after="0"/>
        <w:ind w:left="762"/>
        <w:jc w:val="both"/>
      </w:pPr>
    </w:p>
    <w:p w14:paraId="5D8AD264" w14:textId="77777777" w:rsidR="004B3C05" w:rsidRDefault="004B3C05" w:rsidP="00E61DD1">
      <w:pPr>
        <w:pStyle w:val="Heading2"/>
        <w:numPr>
          <w:ilvl w:val="0"/>
          <w:numId w:val="0"/>
        </w:numPr>
        <w:spacing w:after="0"/>
        <w:ind w:left="762"/>
        <w:jc w:val="both"/>
      </w:pPr>
    </w:p>
    <w:p w14:paraId="3F81322F" w14:textId="77777777" w:rsidR="004B3C05" w:rsidRDefault="004B3C05" w:rsidP="00AB2AC6">
      <w:pPr>
        <w:pStyle w:val="Heading2"/>
        <w:numPr>
          <w:ilvl w:val="0"/>
          <w:numId w:val="0"/>
        </w:numPr>
        <w:spacing w:after="0"/>
        <w:jc w:val="both"/>
      </w:pPr>
    </w:p>
    <w:p w14:paraId="6049FD31" w14:textId="2C1B1103" w:rsidR="002641A9" w:rsidRDefault="002641A9" w:rsidP="00E61DD1">
      <w:pPr>
        <w:pStyle w:val="Heading2"/>
        <w:spacing w:after="0"/>
        <w:jc w:val="both"/>
        <w:rPr>
          <w:b/>
          <w:bCs/>
        </w:rPr>
      </w:pPr>
      <w:r w:rsidRPr="009E28B4">
        <w:rPr>
          <w:b/>
          <w:bCs/>
        </w:rPr>
        <w:t>Responding to cross-system incidents/issues</w:t>
      </w:r>
    </w:p>
    <w:p w14:paraId="3A3DA63D" w14:textId="532A8B23" w:rsidR="007605BA" w:rsidRDefault="007605BA" w:rsidP="00E61DD1">
      <w:pPr>
        <w:pStyle w:val="Heading2"/>
        <w:numPr>
          <w:ilvl w:val="0"/>
          <w:numId w:val="0"/>
        </w:numPr>
        <w:spacing w:after="0"/>
        <w:ind w:left="762"/>
        <w:jc w:val="both"/>
      </w:pPr>
    </w:p>
    <w:p w14:paraId="31EA0323" w14:textId="3216432E" w:rsidR="009E735F" w:rsidRDefault="00C54E16" w:rsidP="00E61DD1">
      <w:pPr>
        <w:pStyle w:val="Heading2"/>
        <w:numPr>
          <w:ilvl w:val="0"/>
          <w:numId w:val="0"/>
        </w:numPr>
        <w:spacing w:after="0"/>
        <w:ind w:left="762"/>
        <w:jc w:val="both"/>
      </w:pPr>
      <w:r>
        <w:t xml:space="preserve">Spire Healthcare hospitals </w:t>
      </w:r>
      <w:r w:rsidRPr="00C54E16">
        <w:t>which provide care to NHS patients must agree with their local NHS</w:t>
      </w:r>
      <w:r>
        <w:t xml:space="preserve"> </w:t>
      </w:r>
      <w:r w:rsidRPr="00C54E16">
        <w:t xml:space="preserve">organisations how they will report and investigate patient safety incidents which affect a patient that has received care in both places. For example, where a patient has their surgery in a </w:t>
      </w:r>
      <w:r>
        <w:t xml:space="preserve">Spire Healthcare </w:t>
      </w:r>
      <w:r w:rsidRPr="00C54E16">
        <w:t>Hospital but is then moved into the NHS for another part of their care.</w:t>
      </w:r>
      <w:r w:rsidR="009E735F" w:rsidRPr="009E735F">
        <w:t xml:space="preserve"> </w:t>
      </w:r>
    </w:p>
    <w:p w14:paraId="510AB136" w14:textId="6B307D24" w:rsidR="00C54E16" w:rsidRPr="008433B7" w:rsidRDefault="009E735F" w:rsidP="00E61DD1">
      <w:pPr>
        <w:pStyle w:val="Heading2"/>
        <w:numPr>
          <w:ilvl w:val="0"/>
          <w:numId w:val="0"/>
        </w:numPr>
        <w:spacing w:after="0"/>
        <w:ind w:left="762"/>
        <w:jc w:val="both"/>
        <w:rPr>
          <w:i/>
          <w:iCs/>
        </w:rPr>
      </w:pPr>
      <w:r>
        <w:t>W</w:t>
      </w:r>
      <w:r w:rsidRPr="009E735F">
        <w:t xml:space="preserve">here parts of </w:t>
      </w:r>
      <w:r>
        <w:t xml:space="preserve">a patients </w:t>
      </w:r>
      <w:r w:rsidRPr="009E735F">
        <w:t xml:space="preserve">care pathway </w:t>
      </w:r>
      <w:r>
        <w:t xml:space="preserve">is </w:t>
      </w:r>
      <w:r w:rsidRPr="009E735F">
        <w:t xml:space="preserve">provided in any other provider, including the independent sector, </w:t>
      </w:r>
      <w:r w:rsidRPr="008433B7">
        <w:rPr>
          <w:i/>
          <w:iCs/>
        </w:rPr>
        <w:t>this must also be considered.</w:t>
      </w:r>
    </w:p>
    <w:p w14:paraId="6B54C1C8" w14:textId="7597287C" w:rsidR="006E6179" w:rsidRPr="00967BF4" w:rsidRDefault="006E6179" w:rsidP="00E61DD1">
      <w:pPr>
        <w:pStyle w:val="Heading2"/>
        <w:numPr>
          <w:ilvl w:val="0"/>
          <w:numId w:val="0"/>
        </w:numPr>
        <w:spacing w:after="0"/>
        <w:ind w:left="762"/>
        <w:jc w:val="both"/>
      </w:pPr>
      <w:r w:rsidRPr="008433B7">
        <w:t xml:space="preserve">Collaboration with </w:t>
      </w:r>
      <w:r w:rsidR="007C1BAB" w:rsidRPr="008433B7">
        <w:t xml:space="preserve">the relevant ICB should be undertaken to ensure cross system </w:t>
      </w:r>
      <w:r w:rsidRPr="008433B7">
        <w:t>incident investigation and shar</w:t>
      </w:r>
      <w:r w:rsidR="007C1BAB" w:rsidRPr="008433B7">
        <w:t xml:space="preserve">ed </w:t>
      </w:r>
      <w:r w:rsidRPr="008433B7">
        <w:t xml:space="preserve">learning. </w:t>
      </w:r>
    </w:p>
    <w:p w14:paraId="1E98ECF1" w14:textId="62E2A575" w:rsidR="00F26608" w:rsidRDefault="00C54E16" w:rsidP="00E61DD1">
      <w:pPr>
        <w:pStyle w:val="Heading2"/>
        <w:numPr>
          <w:ilvl w:val="0"/>
          <w:numId w:val="0"/>
        </w:numPr>
        <w:spacing w:after="0"/>
        <w:ind w:left="762"/>
        <w:jc w:val="both"/>
        <w:rPr>
          <w:b/>
          <w:bCs/>
          <w:i/>
          <w:iCs/>
        </w:rPr>
      </w:pPr>
      <w:r w:rsidRPr="00C54E16">
        <w:rPr>
          <w:b/>
          <w:bCs/>
          <w:i/>
          <w:iCs/>
        </w:rPr>
        <w:t>N.B. How this is done must be agreed in writing.</w:t>
      </w:r>
    </w:p>
    <w:p w14:paraId="42A3A92A" w14:textId="77777777" w:rsidR="00C423F2" w:rsidRDefault="00C423F2" w:rsidP="00E61DD1">
      <w:pPr>
        <w:pStyle w:val="Heading2"/>
        <w:numPr>
          <w:ilvl w:val="0"/>
          <w:numId w:val="0"/>
        </w:numPr>
        <w:spacing w:after="0"/>
        <w:ind w:left="762"/>
        <w:jc w:val="both"/>
        <w:rPr>
          <w:b/>
          <w:bCs/>
          <w:i/>
          <w:iCs/>
        </w:rPr>
      </w:pPr>
    </w:p>
    <w:p w14:paraId="5F54DE99" w14:textId="3957949B" w:rsidR="00C54E16" w:rsidRDefault="002641A9" w:rsidP="00E61DD1">
      <w:pPr>
        <w:pStyle w:val="Heading2"/>
        <w:spacing w:after="0"/>
        <w:jc w:val="both"/>
        <w:rPr>
          <w:b/>
          <w:bCs/>
        </w:rPr>
      </w:pPr>
      <w:r w:rsidRPr="00F26608">
        <w:rPr>
          <w:b/>
          <w:bCs/>
        </w:rPr>
        <w:t>Timeframes for learning responses</w:t>
      </w:r>
    </w:p>
    <w:p w14:paraId="2534A7EA" w14:textId="77777777" w:rsidR="00C423F2" w:rsidRDefault="00C423F2" w:rsidP="00C423F2">
      <w:pPr>
        <w:pStyle w:val="Heading2"/>
        <w:numPr>
          <w:ilvl w:val="0"/>
          <w:numId w:val="0"/>
        </w:numPr>
        <w:spacing w:after="0"/>
        <w:ind w:left="762"/>
        <w:jc w:val="both"/>
        <w:rPr>
          <w:b/>
          <w:bCs/>
        </w:rPr>
      </w:pPr>
    </w:p>
    <w:p w14:paraId="7CD08569" w14:textId="30829CC1" w:rsidR="002641A9" w:rsidRPr="00C54E16" w:rsidRDefault="002641A9" w:rsidP="00AB2AC6">
      <w:pPr>
        <w:pStyle w:val="Heading2"/>
        <w:numPr>
          <w:ilvl w:val="0"/>
          <w:numId w:val="18"/>
        </w:numPr>
        <w:spacing w:after="0"/>
        <w:jc w:val="both"/>
        <w:rPr>
          <w:b/>
          <w:bCs/>
        </w:rPr>
      </w:pPr>
      <w:r w:rsidRPr="00C54E16">
        <w:rPr>
          <w:b/>
          <w:bCs/>
        </w:rPr>
        <w:t xml:space="preserve">Timeframes for Patient Safety Incident </w:t>
      </w:r>
      <w:r w:rsidR="00A060DD">
        <w:rPr>
          <w:b/>
          <w:bCs/>
        </w:rPr>
        <w:t xml:space="preserve">Investigation </w:t>
      </w:r>
      <w:r w:rsidRPr="00C54E16">
        <w:rPr>
          <w:b/>
          <w:bCs/>
        </w:rPr>
        <w:t>(PSII)</w:t>
      </w:r>
    </w:p>
    <w:p w14:paraId="669AF85D" w14:textId="3A94B420" w:rsidR="002641A9" w:rsidRPr="002641A9" w:rsidRDefault="002641A9" w:rsidP="00E61DD1">
      <w:pPr>
        <w:pStyle w:val="Heading2"/>
        <w:numPr>
          <w:ilvl w:val="0"/>
          <w:numId w:val="0"/>
        </w:numPr>
        <w:spacing w:after="0"/>
        <w:ind w:left="1080"/>
        <w:jc w:val="both"/>
      </w:pPr>
      <w:r w:rsidRPr="002641A9">
        <w:t xml:space="preserve">Where a PSII has been declared the </w:t>
      </w:r>
      <w:r w:rsidR="0090210B">
        <w:t>i</w:t>
      </w:r>
      <w:r w:rsidR="00A060DD">
        <w:t xml:space="preserve">nvestigation </w:t>
      </w:r>
      <w:r w:rsidRPr="002641A9">
        <w:t xml:space="preserve">should take no longer than </w:t>
      </w:r>
      <w:r w:rsidR="00377F18">
        <w:t>60 working days</w:t>
      </w:r>
      <w:r w:rsidR="00437715">
        <w:t>.</w:t>
      </w:r>
      <w:r w:rsidR="00C54E16">
        <w:t xml:space="preserve"> </w:t>
      </w:r>
    </w:p>
    <w:p w14:paraId="474FE6D3" w14:textId="5DFC6466" w:rsidR="00C54E16" w:rsidRDefault="002641A9" w:rsidP="00E61DD1">
      <w:pPr>
        <w:pStyle w:val="Heading2"/>
        <w:numPr>
          <w:ilvl w:val="0"/>
          <w:numId w:val="0"/>
        </w:numPr>
        <w:spacing w:after="0"/>
        <w:ind w:left="1080"/>
        <w:jc w:val="both"/>
      </w:pPr>
      <w:r w:rsidRPr="002641A9">
        <w:t xml:space="preserve">Any extension to an </w:t>
      </w:r>
      <w:r w:rsidR="00A060DD">
        <w:t xml:space="preserve">investigation </w:t>
      </w:r>
      <w:r w:rsidRPr="002641A9">
        <w:t xml:space="preserve">should be agreed with the Integrated </w:t>
      </w:r>
      <w:r w:rsidR="00C54E16">
        <w:t xml:space="preserve">Quality </w:t>
      </w:r>
      <w:r w:rsidRPr="002641A9">
        <w:t xml:space="preserve">Governance Team and with the effected parties. </w:t>
      </w:r>
    </w:p>
    <w:p w14:paraId="68E99862" w14:textId="77777777" w:rsidR="007F38C6" w:rsidRDefault="007F38C6" w:rsidP="00E61DD1">
      <w:pPr>
        <w:pStyle w:val="Heading2"/>
        <w:numPr>
          <w:ilvl w:val="0"/>
          <w:numId w:val="0"/>
        </w:numPr>
        <w:spacing w:after="0"/>
        <w:ind w:left="1080"/>
        <w:jc w:val="both"/>
      </w:pPr>
    </w:p>
    <w:p w14:paraId="10C66990" w14:textId="77777777" w:rsidR="009757AB" w:rsidRDefault="002641A9" w:rsidP="00AB2AC6">
      <w:pPr>
        <w:pStyle w:val="Heading2"/>
        <w:numPr>
          <w:ilvl w:val="0"/>
          <w:numId w:val="18"/>
        </w:numPr>
        <w:spacing w:after="0"/>
        <w:jc w:val="both"/>
      </w:pPr>
      <w:r w:rsidRPr="00F26608">
        <w:rPr>
          <w:b/>
          <w:bCs/>
        </w:rPr>
        <w:t>Timescales for non PSII incident responses</w:t>
      </w:r>
    </w:p>
    <w:p w14:paraId="7E037DF3" w14:textId="77777777" w:rsidR="00C72EAE" w:rsidRDefault="009757AB" w:rsidP="00E61DD1">
      <w:pPr>
        <w:pStyle w:val="Heading2"/>
        <w:numPr>
          <w:ilvl w:val="0"/>
          <w:numId w:val="0"/>
        </w:numPr>
        <w:spacing w:after="0"/>
        <w:ind w:left="1080"/>
        <w:jc w:val="both"/>
      </w:pPr>
      <w:r w:rsidRPr="009757AB">
        <w:t xml:space="preserve">NHS England makes recommendations for timescales which Spire Healthcare will follow.  </w:t>
      </w:r>
    </w:p>
    <w:p w14:paraId="2F82F9A5" w14:textId="0B169FF7" w:rsidR="009757AB" w:rsidRPr="009757AB" w:rsidRDefault="009757AB" w:rsidP="00E61DD1">
      <w:pPr>
        <w:pStyle w:val="Heading2"/>
        <w:numPr>
          <w:ilvl w:val="0"/>
          <w:numId w:val="0"/>
        </w:numPr>
        <w:spacing w:after="0"/>
        <w:ind w:left="1080"/>
        <w:jc w:val="both"/>
      </w:pPr>
      <w:r w:rsidRPr="009757AB">
        <w:t>These are:</w:t>
      </w:r>
    </w:p>
    <w:p w14:paraId="4EB006E8" w14:textId="77777777" w:rsidR="009757AB" w:rsidRPr="009757AB" w:rsidRDefault="009757AB" w:rsidP="00AB2AC6">
      <w:pPr>
        <w:pStyle w:val="ListParagraph"/>
        <w:numPr>
          <w:ilvl w:val="0"/>
          <w:numId w:val="19"/>
        </w:numPr>
        <w:jc w:val="both"/>
        <w:rPr>
          <w:rFonts w:asciiTheme="majorHAnsi" w:eastAsia="Calibri" w:hAnsiTheme="majorHAnsi" w:cstheme="majorHAnsi"/>
          <w:szCs w:val="24"/>
        </w:rPr>
      </w:pPr>
      <w:r w:rsidRPr="009757AB">
        <w:rPr>
          <w:rFonts w:asciiTheme="majorHAnsi" w:eastAsia="Calibri" w:hAnsiTheme="majorHAnsi" w:cstheme="majorHAnsi"/>
          <w:szCs w:val="24"/>
        </w:rPr>
        <w:t>Swarm huddle - as near to the time the incident occurs as possible but, as a maximum, within 24hrs of it occurring.</w:t>
      </w:r>
    </w:p>
    <w:p w14:paraId="19CCAD80" w14:textId="70AFFD38" w:rsidR="009757AB" w:rsidRDefault="009757AB" w:rsidP="00AB2AC6">
      <w:pPr>
        <w:pStyle w:val="ListParagraph"/>
        <w:numPr>
          <w:ilvl w:val="0"/>
          <w:numId w:val="19"/>
        </w:numPr>
        <w:jc w:val="both"/>
        <w:rPr>
          <w:rFonts w:asciiTheme="majorHAnsi" w:eastAsia="Calibri" w:hAnsiTheme="majorHAnsi" w:cstheme="majorHAnsi"/>
          <w:szCs w:val="24"/>
        </w:rPr>
      </w:pPr>
      <w:r w:rsidRPr="009757AB">
        <w:rPr>
          <w:rFonts w:asciiTheme="majorHAnsi" w:eastAsia="Calibri" w:hAnsiTheme="majorHAnsi" w:cstheme="majorHAnsi"/>
          <w:szCs w:val="24"/>
        </w:rPr>
        <w:t xml:space="preserve">After Action Reviews – </w:t>
      </w:r>
      <w:r w:rsidR="00012119" w:rsidRPr="009757AB">
        <w:rPr>
          <w:rFonts w:asciiTheme="majorHAnsi" w:eastAsia="Calibri" w:hAnsiTheme="majorHAnsi" w:cstheme="majorHAnsi"/>
          <w:szCs w:val="24"/>
        </w:rPr>
        <w:t>within 5</w:t>
      </w:r>
      <w:r w:rsidRPr="009757AB">
        <w:rPr>
          <w:rFonts w:asciiTheme="majorHAnsi" w:eastAsia="Calibri" w:hAnsiTheme="majorHAnsi" w:cstheme="majorHAnsi"/>
          <w:szCs w:val="24"/>
        </w:rPr>
        <w:t xml:space="preserve"> </w:t>
      </w:r>
      <w:r w:rsidR="009E735F">
        <w:rPr>
          <w:rFonts w:asciiTheme="majorHAnsi" w:eastAsia="Calibri" w:hAnsiTheme="majorHAnsi" w:cstheme="majorHAnsi"/>
          <w:szCs w:val="24"/>
        </w:rPr>
        <w:t xml:space="preserve">working </w:t>
      </w:r>
      <w:r w:rsidRPr="009757AB">
        <w:rPr>
          <w:rFonts w:asciiTheme="majorHAnsi" w:eastAsia="Calibri" w:hAnsiTheme="majorHAnsi" w:cstheme="majorHAnsi"/>
          <w:szCs w:val="24"/>
        </w:rPr>
        <w:t xml:space="preserve">days of the incident </w:t>
      </w:r>
      <w:r w:rsidR="00831A27">
        <w:rPr>
          <w:rFonts w:asciiTheme="majorHAnsi" w:eastAsia="Calibri" w:hAnsiTheme="majorHAnsi" w:cstheme="majorHAnsi"/>
          <w:szCs w:val="24"/>
        </w:rPr>
        <w:t>being declared an AAR</w:t>
      </w:r>
      <w:r w:rsidRPr="009757AB">
        <w:rPr>
          <w:rFonts w:asciiTheme="majorHAnsi" w:eastAsia="Calibri" w:hAnsiTheme="majorHAnsi" w:cstheme="majorHAnsi"/>
          <w:szCs w:val="24"/>
        </w:rPr>
        <w:t>.</w:t>
      </w:r>
    </w:p>
    <w:p w14:paraId="76AB2E97" w14:textId="6811471C" w:rsidR="00703F6C" w:rsidRDefault="00521EFD" w:rsidP="00AB2AC6">
      <w:pPr>
        <w:pStyle w:val="ListParagraph"/>
        <w:numPr>
          <w:ilvl w:val="0"/>
          <w:numId w:val="19"/>
        </w:numPr>
        <w:jc w:val="both"/>
        <w:rPr>
          <w:rFonts w:asciiTheme="majorHAnsi" w:eastAsia="Calibri" w:hAnsiTheme="majorHAnsi" w:cstheme="majorHAnsi"/>
          <w:szCs w:val="24"/>
        </w:rPr>
      </w:pPr>
      <w:r>
        <w:rPr>
          <w:rFonts w:asciiTheme="majorHAnsi" w:eastAsia="Calibri" w:hAnsiTheme="majorHAnsi" w:cstheme="majorHAnsi"/>
          <w:szCs w:val="24"/>
        </w:rPr>
        <w:t>KSI/</w:t>
      </w:r>
      <w:r w:rsidR="00703F6C">
        <w:rPr>
          <w:rFonts w:asciiTheme="majorHAnsi" w:eastAsia="Calibri" w:hAnsiTheme="majorHAnsi" w:cstheme="majorHAnsi"/>
          <w:szCs w:val="24"/>
        </w:rPr>
        <w:t xml:space="preserve">Round Table – within </w:t>
      </w:r>
      <w:r w:rsidR="006E0661">
        <w:rPr>
          <w:rFonts w:asciiTheme="majorHAnsi" w:eastAsia="Calibri" w:hAnsiTheme="majorHAnsi" w:cstheme="majorHAnsi"/>
          <w:szCs w:val="24"/>
        </w:rPr>
        <w:t>10</w:t>
      </w:r>
      <w:r w:rsidR="000E4047">
        <w:rPr>
          <w:rFonts w:asciiTheme="majorHAnsi" w:eastAsia="Calibri" w:hAnsiTheme="majorHAnsi" w:cstheme="majorHAnsi"/>
          <w:szCs w:val="24"/>
        </w:rPr>
        <w:t xml:space="preserve"> working days </w:t>
      </w:r>
      <w:r w:rsidR="00703F6C">
        <w:rPr>
          <w:rFonts w:asciiTheme="majorHAnsi" w:eastAsia="Calibri" w:hAnsiTheme="majorHAnsi" w:cstheme="majorHAnsi"/>
          <w:szCs w:val="24"/>
        </w:rPr>
        <w:t>of the incident occurring</w:t>
      </w:r>
      <w:r w:rsidR="006E0661">
        <w:rPr>
          <w:rFonts w:asciiTheme="majorHAnsi" w:eastAsia="Calibri" w:hAnsiTheme="majorHAnsi" w:cstheme="majorHAnsi"/>
          <w:szCs w:val="24"/>
        </w:rPr>
        <w:t xml:space="preserve"> (upload documents to datix within 20 working days)</w:t>
      </w:r>
      <w:r w:rsidR="00703F6C">
        <w:rPr>
          <w:rFonts w:asciiTheme="majorHAnsi" w:eastAsia="Calibri" w:hAnsiTheme="majorHAnsi" w:cstheme="majorHAnsi"/>
          <w:szCs w:val="24"/>
        </w:rPr>
        <w:t xml:space="preserve">.  </w:t>
      </w:r>
    </w:p>
    <w:p w14:paraId="63D45972" w14:textId="77777777" w:rsidR="00703F6C" w:rsidRDefault="00703F6C" w:rsidP="00E61DD1">
      <w:pPr>
        <w:pStyle w:val="ListParagraph"/>
        <w:ind w:left="1481"/>
        <w:jc w:val="both"/>
        <w:rPr>
          <w:rFonts w:asciiTheme="majorHAnsi" w:eastAsia="Calibri" w:hAnsiTheme="majorHAnsi" w:cstheme="majorHAnsi"/>
          <w:szCs w:val="24"/>
        </w:rPr>
      </w:pPr>
    </w:p>
    <w:p w14:paraId="3AFD35E9" w14:textId="77777777" w:rsidR="002641A9" w:rsidRDefault="002641A9" w:rsidP="00E61DD1">
      <w:pPr>
        <w:pStyle w:val="Heading2"/>
        <w:spacing w:after="0"/>
        <w:jc w:val="both"/>
        <w:rPr>
          <w:b/>
          <w:bCs/>
        </w:rPr>
      </w:pPr>
      <w:r w:rsidRPr="00F26608">
        <w:rPr>
          <w:b/>
          <w:bCs/>
        </w:rPr>
        <w:t>Safety action development and monitoring improvement</w:t>
      </w:r>
    </w:p>
    <w:p w14:paraId="4BCAC3A8" w14:textId="77777777" w:rsidR="007605BA" w:rsidRDefault="007605BA" w:rsidP="00E61DD1">
      <w:pPr>
        <w:pStyle w:val="Heading2"/>
        <w:numPr>
          <w:ilvl w:val="0"/>
          <w:numId w:val="0"/>
        </w:numPr>
        <w:spacing w:after="0"/>
        <w:ind w:left="762"/>
        <w:jc w:val="both"/>
      </w:pPr>
    </w:p>
    <w:p w14:paraId="1F0A075C" w14:textId="6A1F3F42" w:rsidR="002641A9" w:rsidRDefault="002641A9" w:rsidP="00E61DD1">
      <w:pPr>
        <w:pStyle w:val="Heading2"/>
        <w:numPr>
          <w:ilvl w:val="0"/>
          <w:numId w:val="0"/>
        </w:numPr>
        <w:spacing w:after="0"/>
        <w:ind w:left="762"/>
        <w:jc w:val="both"/>
      </w:pPr>
      <w:r w:rsidRPr="002641A9">
        <w:t xml:space="preserve">Fully informed and engaged action plans will be crucial to all our </w:t>
      </w:r>
      <w:r w:rsidR="0090210B">
        <w:t>incident response</w:t>
      </w:r>
      <w:r w:rsidR="0060524B">
        <w:t>s</w:t>
      </w:r>
      <w:r w:rsidR="008938D9">
        <w:t xml:space="preserve"> and are included on all enhanced investigation templates</w:t>
      </w:r>
      <w:r w:rsidRPr="002641A9">
        <w:t xml:space="preserve">. This is vital when trying to reduce the risk of recurrence and making meaningful improvements. </w:t>
      </w:r>
    </w:p>
    <w:p w14:paraId="129D0F3B" w14:textId="77777777" w:rsidR="00B7672F" w:rsidRDefault="00B7672F" w:rsidP="00E61DD1">
      <w:pPr>
        <w:pStyle w:val="Heading2"/>
        <w:numPr>
          <w:ilvl w:val="0"/>
          <w:numId w:val="0"/>
        </w:numPr>
        <w:spacing w:after="0"/>
        <w:ind w:left="762"/>
        <w:jc w:val="both"/>
      </w:pPr>
    </w:p>
    <w:p w14:paraId="678968AF" w14:textId="2CD020D3" w:rsidR="006E0B17" w:rsidRDefault="009757AB" w:rsidP="00E61DD1">
      <w:pPr>
        <w:pStyle w:val="Heading2"/>
        <w:numPr>
          <w:ilvl w:val="0"/>
          <w:numId w:val="0"/>
        </w:numPr>
        <w:spacing w:after="0"/>
        <w:ind w:left="762"/>
        <w:jc w:val="both"/>
      </w:pPr>
      <w:r>
        <w:t>A Safety Action is an action taken to reduce the risk of harm happening again and improve the level of safety for patients</w:t>
      </w:r>
      <w:r w:rsidR="00D47EC0">
        <w:t xml:space="preserve">, </w:t>
      </w:r>
      <w:r w:rsidR="00E05AC5">
        <w:t>colleagues and consultant partners</w:t>
      </w:r>
      <w:r>
        <w:t xml:space="preserve"> within healthcare.</w:t>
      </w:r>
    </w:p>
    <w:p w14:paraId="68DF6E6C" w14:textId="77777777" w:rsidR="00B7672F" w:rsidRDefault="00B7672F" w:rsidP="00E61DD1">
      <w:pPr>
        <w:pStyle w:val="Heading2"/>
        <w:numPr>
          <w:ilvl w:val="0"/>
          <w:numId w:val="0"/>
        </w:numPr>
        <w:spacing w:after="0"/>
        <w:ind w:left="762"/>
        <w:jc w:val="both"/>
      </w:pPr>
    </w:p>
    <w:p w14:paraId="199350A1" w14:textId="314C6C1A" w:rsidR="006E0B17" w:rsidRDefault="006E0B17" w:rsidP="00E61DD1">
      <w:pPr>
        <w:pStyle w:val="Heading2"/>
        <w:numPr>
          <w:ilvl w:val="0"/>
          <w:numId w:val="0"/>
        </w:numPr>
        <w:spacing w:after="0"/>
        <w:ind w:left="762"/>
        <w:jc w:val="both"/>
      </w:pPr>
      <w:r>
        <w:t xml:space="preserve">All actions </w:t>
      </w:r>
      <w:r w:rsidR="0059084D">
        <w:t xml:space="preserve">will be documented in </w:t>
      </w:r>
      <w:r w:rsidR="00862171">
        <w:t>Datix</w:t>
      </w:r>
      <w:r w:rsidR="0059084D">
        <w:t xml:space="preserve"> and monitored as part of the quality review.</w:t>
      </w:r>
    </w:p>
    <w:p w14:paraId="584B8C50" w14:textId="77777777" w:rsidR="00144537" w:rsidRDefault="00144537" w:rsidP="00E61DD1">
      <w:pPr>
        <w:pStyle w:val="Heading2"/>
        <w:numPr>
          <w:ilvl w:val="0"/>
          <w:numId w:val="0"/>
        </w:numPr>
        <w:spacing w:after="0"/>
        <w:ind w:left="762"/>
        <w:jc w:val="both"/>
      </w:pPr>
    </w:p>
    <w:p w14:paraId="68C84816" w14:textId="676964E1" w:rsidR="009757AB" w:rsidRDefault="009757AB" w:rsidP="00E61DD1">
      <w:pPr>
        <w:pStyle w:val="Heading2"/>
        <w:numPr>
          <w:ilvl w:val="0"/>
          <w:numId w:val="0"/>
        </w:numPr>
        <w:spacing w:after="0"/>
        <w:ind w:left="762"/>
        <w:jc w:val="both"/>
        <w:rPr>
          <w:rStyle w:val="Hyperlink"/>
        </w:rPr>
      </w:pPr>
      <w:r>
        <w:t xml:space="preserve">Spire Healthcare Hospitals will use the NHS England ‘Safety Action Development Guide’ to support their safety action plans. This can be found at </w:t>
      </w:r>
      <w:hyperlink r:id="rId33" w:history="1">
        <w:r w:rsidRPr="009757AB">
          <w:rPr>
            <w:rStyle w:val="Hyperlink"/>
          </w:rPr>
          <w:t>NHSE Safety Action Development Guide 2022</w:t>
        </w:r>
      </w:hyperlink>
    </w:p>
    <w:p w14:paraId="41C665F2" w14:textId="77777777" w:rsidR="007F38C6" w:rsidRPr="002641A9" w:rsidRDefault="007F38C6" w:rsidP="00E61DD1">
      <w:pPr>
        <w:pStyle w:val="Heading2"/>
        <w:numPr>
          <w:ilvl w:val="0"/>
          <w:numId w:val="0"/>
        </w:numPr>
        <w:spacing w:after="0"/>
        <w:ind w:left="762"/>
        <w:jc w:val="both"/>
      </w:pPr>
    </w:p>
    <w:p w14:paraId="6323BE7F" w14:textId="3A6C2C8B" w:rsidR="002641A9" w:rsidRDefault="002641A9" w:rsidP="00E61DD1">
      <w:pPr>
        <w:pStyle w:val="Heading2"/>
        <w:spacing w:after="0"/>
        <w:jc w:val="both"/>
        <w:rPr>
          <w:b/>
          <w:bCs/>
        </w:rPr>
      </w:pPr>
      <w:r w:rsidRPr="00F26608">
        <w:rPr>
          <w:b/>
          <w:bCs/>
        </w:rPr>
        <w:t>Safety improvement plans</w:t>
      </w:r>
    </w:p>
    <w:p w14:paraId="4F7C7521" w14:textId="77777777" w:rsidR="007605BA" w:rsidRDefault="007605BA" w:rsidP="00E61DD1">
      <w:pPr>
        <w:pStyle w:val="Heading2"/>
        <w:numPr>
          <w:ilvl w:val="0"/>
          <w:numId w:val="0"/>
        </w:numPr>
        <w:spacing w:after="0"/>
        <w:ind w:left="762"/>
        <w:jc w:val="both"/>
      </w:pPr>
    </w:p>
    <w:p w14:paraId="6D500C17" w14:textId="3CC0E776" w:rsidR="002641A9" w:rsidRDefault="002641A9" w:rsidP="00E61DD1">
      <w:pPr>
        <w:pStyle w:val="Heading2"/>
        <w:numPr>
          <w:ilvl w:val="0"/>
          <w:numId w:val="0"/>
        </w:numPr>
        <w:spacing w:after="0"/>
        <w:ind w:left="762"/>
        <w:jc w:val="both"/>
      </w:pPr>
      <w:r w:rsidRPr="002641A9">
        <w:t xml:space="preserve">Our Patient Safety Incident Response Plan outlines Spire Healthcare’s Group Priorities for the next 12 months. These priorities were developed following </w:t>
      </w:r>
      <w:r w:rsidR="00B92D12">
        <w:t xml:space="preserve">an </w:t>
      </w:r>
      <w:r w:rsidRPr="002641A9">
        <w:t xml:space="preserve">extensive review of multiple data sets </w:t>
      </w:r>
      <w:r w:rsidR="006844F5" w:rsidRPr="002641A9">
        <w:t>and</w:t>
      </w:r>
      <w:r w:rsidRPr="002641A9">
        <w:t xml:space="preserve"> “soft” intelligence gathered from our </w:t>
      </w:r>
      <w:r w:rsidR="00E05AC5">
        <w:t>colleagues</w:t>
      </w:r>
      <w:r w:rsidRPr="002641A9">
        <w:t xml:space="preserve">. These priorities offer areas of learning and improvement and have been agreed would benefit from a PSII </w:t>
      </w:r>
      <w:r w:rsidR="00A060DD">
        <w:t>investigation</w:t>
      </w:r>
      <w:r w:rsidRPr="002641A9">
        <w:t xml:space="preserve">. After 12 months the expectation is that the frequency of these incidents would have decreased due to effective </w:t>
      </w:r>
      <w:r w:rsidR="0090210B">
        <w:t>incident response</w:t>
      </w:r>
      <w:r w:rsidRPr="002641A9">
        <w:t xml:space="preserve">s and action plans. </w:t>
      </w:r>
    </w:p>
    <w:p w14:paraId="3412D225" w14:textId="77777777" w:rsidR="00144537" w:rsidRPr="002641A9" w:rsidRDefault="00144537" w:rsidP="00E61DD1">
      <w:pPr>
        <w:pStyle w:val="Heading2"/>
        <w:numPr>
          <w:ilvl w:val="0"/>
          <w:numId w:val="0"/>
        </w:numPr>
        <w:spacing w:after="0"/>
        <w:ind w:left="762"/>
        <w:jc w:val="both"/>
      </w:pPr>
    </w:p>
    <w:p w14:paraId="32ECB529" w14:textId="00D03BC9" w:rsidR="002641A9" w:rsidRDefault="002641A9" w:rsidP="00E61DD1">
      <w:pPr>
        <w:pStyle w:val="Heading2"/>
        <w:numPr>
          <w:ilvl w:val="0"/>
          <w:numId w:val="0"/>
        </w:numPr>
        <w:spacing w:after="0"/>
        <w:ind w:left="762"/>
        <w:jc w:val="both"/>
      </w:pPr>
      <w:r w:rsidRPr="002641A9">
        <w:t xml:space="preserve">Our learning from </w:t>
      </w:r>
      <w:r w:rsidR="0090210B">
        <w:t>incident response</w:t>
      </w:r>
      <w:r w:rsidRPr="002641A9">
        <w:t xml:space="preserve">s undertaken using the PSIRF will be used to form effective safety improvement plans which will be </w:t>
      </w:r>
      <w:r w:rsidR="00D27AB1">
        <w:t>linked t</w:t>
      </w:r>
      <w:r w:rsidRPr="002641A9">
        <w:t xml:space="preserve">o the organisation's quality improvement activities. </w:t>
      </w:r>
    </w:p>
    <w:p w14:paraId="22DFBFF5" w14:textId="77777777" w:rsidR="00144537" w:rsidRDefault="00144537" w:rsidP="00E61DD1">
      <w:pPr>
        <w:pStyle w:val="Heading2"/>
        <w:numPr>
          <w:ilvl w:val="0"/>
          <w:numId w:val="0"/>
        </w:numPr>
        <w:spacing w:after="0"/>
        <w:ind w:left="762"/>
        <w:jc w:val="both"/>
      </w:pPr>
    </w:p>
    <w:p w14:paraId="2D71A88B" w14:textId="4F923AD3" w:rsidR="00312B98" w:rsidRDefault="00312B98" w:rsidP="00E61DD1">
      <w:pPr>
        <w:pStyle w:val="Heading2"/>
        <w:numPr>
          <w:ilvl w:val="0"/>
          <w:numId w:val="0"/>
        </w:numPr>
        <w:spacing w:after="0"/>
        <w:ind w:left="762"/>
        <w:jc w:val="both"/>
      </w:pPr>
      <w:r>
        <w:t xml:space="preserve">All data will be used to produce a safety improvement plan which will be driven </w:t>
      </w:r>
      <w:r w:rsidR="00430C6F">
        <w:t xml:space="preserve">to inform </w:t>
      </w:r>
      <w:r>
        <w:t xml:space="preserve">our QI priorities on an annual basis. </w:t>
      </w:r>
    </w:p>
    <w:p w14:paraId="6824EF53" w14:textId="77777777" w:rsidR="00144537" w:rsidRPr="002641A9" w:rsidRDefault="00144537" w:rsidP="00E61DD1">
      <w:pPr>
        <w:pStyle w:val="Heading2"/>
        <w:numPr>
          <w:ilvl w:val="0"/>
          <w:numId w:val="0"/>
        </w:numPr>
        <w:spacing w:after="0"/>
        <w:ind w:left="762"/>
        <w:jc w:val="both"/>
      </w:pPr>
    </w:p>
    <w:p w14:paraId="19AE55A6" w14:textId="3B0502B1" w:rsidR="002641A9" w:rsidRPr="00E97FD2" w:rsidRDefault="002641A9" w:rsidP="00E61DD1">
      <w:pPr>
        <w:pStyle w:val="Heading2"/>
        <w:numPr>
          <w:ilvl w:val="0"/>
          <w:numId w:val="0"/>
        </w:numPr>
        <w:spacing w:after="0"/>
        <w:ind w:left="762"/>
        <w:jc w:val="both"/>
      </w:pPr>
      <w:r w:rsidRPr="00E97FD2">
        <w:t>Monitoring of the progress of safety improvement plans will be performed by</w:t>
      </w:r>
      <w:r w:rsidR="009757AB" w:rsidRPr="00E97FD2">
        <w:t xml:space="preserve"> National </w:t>
      </w:r>
      <w:r w:rsidR="00E97FD2" w:rsidRPr="00E97FD2">
        <w:t xml:space="preserve">Integrated Quality Governance Team. </w:t>
      </w:r>
    </w:p>
    <w:p w14:paraId="2497BAAA" w14:textId="77777777" w:rsidR="00C423F2" w:rsidRPr="00F26608" w:rsidRDefault="00C423F2" w:rsidP="00E61DD1">
      <w:pPr>
        <w:pStyle w:val="Heading2"/>
        <w:numPr>
          <w:ilvl w:val="0"/>
          <w:numId w:val="0"/>
        </w:numPr>
        <w:spacing w:after="0"/>
        <w:ind w:left="762"/>
        <w:jc w:val="both"/>
        <w:rPr>
          <w:highlight w:val="yellow"/>
        </w:rPr>
      </w:pPr>
    </w:p>
    <w:p w14:paraId="28882388" w14:textId="03D77752" w:rsidR="003D7A87" w:rsidRPr="004B3C05" w:rsidRDefault="003D7A87" w:rsidP="00E61DD1">
      <w:pPr>
        <w:pStyle w:val="Heading1"/>
        <w:rPr>
          <w:caps w:val="0"/>
          <w:color w:val="008385"/>
        </w:rPr>
      </w:pPr>
      <w:bookmarkStart w:id="41" w:name="_Toc159429864"/>
      <w:r w:rsidRPr="004B3C05">
        <w:rPr>
          <w:caps w:val="0"/>
          <w:color w:val="008385"/>
        </w:rPr>
        <w:t>MORTALITY REVIEW PROCESS</w:t>
      </w:r>
      <w:bookmarkEnd w:id="41"/>
    </w:p>
    <w:p w14:paraId="187056FD" w14:textId="77777777" w:rsidR="003D7A87" w:rsidRDefault="003D7A87" w:rsidP="00E61DD1">
      <w:pPr>
        <w:pStyle w:val="Heading1"/>
        <w:numPr>
          <w:ilvl w:val="0"/>
          <w:numId w:val="0"/>
        </w:numPr>
        <w:ind w:left="762"/>
      </w:pPr>
    </w:p>
    <w:p w14:paraId="4C8530E1" w14:textId="003C8802" w:rsidR="00844EC1" w:rsidRPr="00D24A99" w:rsidRDefault="00C47711" w:rsidP="00AB2AC6">
      <w:pPr>
        <w:pStyle w:val="Heading2"/>
        <w:numPr>
          <w:ilvl w:val="1"/>
          <w:numId w:val="23"/>
        </w:numPr>
        <w:spacing w:after="0"/>
        <w:jc w:val="both"/>
        <w:rPr>
          <w:b/>
          <w:bCs/>
        </w:rPr>
      </w:pPr>
      <w:r w:rsidRPr="0045059C">
        <w:t xml:space="preserve">The PSIRF covers all patient safety incidents including </w:t>
      </w:r>
      <w:r w:rsidR="009D67AC" w:rsidRPr="0045059C">
        <w:t xml:space="preserve">expected and unexpected deaths.  </w:t>
      </w:r>
      <w:r w:rsidRPr="0045059C">
        <w:t>A</w:t>
      </w:r>
      <w:r w:rsidR="00844EC1" w:rsidRPr="0045059C">
        <w:t xml:space="preserve"> Mortality Reporting Process </w:t>
      </w:r>
      <w:r w:rsidR="00AD106D" w:rsidRPr="0045059C">
        <w:t xml:space="preserve">Flowchart and guidance </w:t>
      </w:r>
      <w:r w:rsidR="00844EC1" w:rsidRPr="0045059C">
        <w:t xml:space="preserve">to support hospitals in respect of action required following a patient death (Medical / Surgical / Oncology) can be found </w:t>
      </w:r>
      <w:r w:rsidRPr="0045059C">
        <w:t>in</w:t>
      </w:r>
      <w:r w:rsidRPr="0045059C">
        <w:rPr>
          <w:b/>
          <w:bCs/>
        </w:rPr>
        <w:t xml:space="preserve"> </w:t>
      </w:r>
      <w:r w:rsidRPr="008433B7">
        <w:t xml:space="preserve">Appendix </w:t>
      </w:r>
      <w:r w:rsidR="00991936" w:rsidRPr="008433B7">
        <w:t>19</w:t>
      </w:r>
      <w:r w:rsidR="005971AE">
        <w:t>.</w:t>
      </w:r>
    </w:p>
    <w:p w14:paraId="47F53FE6" w14:textId="77777777" w:rsidR="00D24A99" w:rsidRPr="0045059C" w:rsidRDefault="00D24A99" w:rsidP="00D24A99">
      <w:pPr>
        <w:pStyle w:val="Heading2"/>
        <w:numPr>
          <w:ilvl w:val="0"/>
          <w:numId w:val="0"/>
        </w:numPr>
        <w:spacing w:after="0"/>
        <w:ind w:left="762"/>
        <w:jc w:val="both"/>
        <w:rPr>
          <w:b/>
          <w:bCs/>
        </w:rPr>
      </w:pPr>
    </w:p>
    <w:p w14:paraId="24A5F712" w14:textId="77777777" w:rsidR="00D24A99" w:rsidRPr="00D24A99" w:rsidRDefault="009D67AC" w:rsidP="00AB2AC6">
      <w:pPr>
        <w:pStyle w:val="ListParagraph"/>
        <w:numPr>
          <w:ilvl w:val="1"/>
          <w:numId w:val="27"/>
        </w:numPr>
        <w:autoSpaceDE w:val="0"/>
        <w:autoSpaceDN w:val="0"/>
        <w:ind w:left="1560" w:hanging="426"/>
        <w:jc w:val="both"/>
        <w:rPr>
          <w:rFonts w:asciiTheme="majorHAnsi" w:eastAsia="Calibri" w:hAnsiTheme="majorHAnsi" w:cstheme="majorHAnsi"/>
          <w:szCs w:val="24"/>
        </w:rPr>
      </w:pPr>
      <w:bookmarkStart w:id="42" w:name="_Hlk154583395"/>
      <w:r w:rsidRPr="00D24A99">
        <w:rPr>
          <w:rFonts w:asciiTheme="majorHAnsi" w:eastAsia="Calibri" w:hAnsiTheme="majorHAnsi" w:cstheme="majorHAnsi"/>
          <w:b/>
          <w:bCs/>
          <w:szCs w:val="24"/>
        </w:rPr>
        <w:t>Expected / Unexpected Death</w:t>
      </w:r>
      <w:r w:rsidR="00312CB5" w:rsidRPr="00D24A99">
        <w:rPr>
          <w:rFonts w:asciiTheme="majorHAnsi" w:eastAsia="Calibri" w:hAnsiTheme="majorHAnsi" w:cstheme="majorHAnsi"/>
          <w:b/>
          <w:bCs/>
          <w:szCs w:val="24"/>
        </w:rPr>
        <w:t xml:space="preserve"> (CQC - Regulation 16: Notification of death of service user).</w:t>
      </w:r>
      <w:bookmarkEnd w:id="42"/>
    </w:p>
    <w:p w14:paraId="1A90FC7E" w14:textId="2622EB34" w:rsidR="00B34885" w:rsidRPr="00D24A99" w:rsidRDefault="009D67AC" w:rsidP="00AB2AC6">
      <w:pPr>
        <w:pStyle w:val="ListParagraph"/>
        <w:numPr>
          <w:ilvl w:val="1"/>
          <w:numId w:val="27"/>
        </w:numPr>
        <w:autoSpaceDE w:val="0"/>
        <w:autoSpaceDN w:val="0"/>
        <w:ind w:left="1560" w:hanging="426"/>
        <w:jc w:val="both"/>
        <w:rPr>
          <w:rFonts w:asciiTheme="majorHAnsi" w:eastAsia="Calibri" w:hAnsiTheme="majorHAnsi" w:cstheme="majorHAnsi"/>
          <w:szCs w:val="24"/>
        </w:rPr>
      </w:pPr>
      <w:r w:rsidRPr="00D24A99">
        <w:rPr>
          <w:rFonts w:asciiTheme="majorHAnsi" w:eastAsia="Calibri" w:hAnsiTheme="majorHAnsi" w:cstheme="majorHAnsi"/>
          <w:szCs w:val="24"/>
        </w:rPr>
        <w:t>An ‘Expected Death’ is defined as a death</w:t>
      </w:r>
      <w:r w:rsidR="00C61EBF" w:rsidRPr="00D24A99">
        <w:rPr>
          <w:rFonts w:asciiTheme="majorHAnsi" w:eastAsia="Calibri" w:hAnsiTheme="majorHAnsi" w:cstheme="majorHAnsi"/>
          <w:szCs w:val="24"/>
        </w:rPr>
        <w:t xml:space="preserve">, </w:t>
      </w:r>
      <w:r w:rsidR="00B34885" w:rsidRPr="00D24A99">
        <w:rPr>
          <w:rFonts w:asciiTheme="majorHAnsi" w:eastAsia="Calibri" w:hAnsiTheme="majorHAnsi" w:cstheme="majorHAnsi"/>
          <w:szCs w:val="24"/>
        </w:rPr>
        <w:t>that was the expected outcome of an illness or physical condition.</w:t>
      </w:r>
    </w:p>
    <w:p w14:paraId="10D42A5D" w14:textId="77777777" w:rsidR="00C42D3D" w:rsidRDefault="009D67AC" w:rsidP="00AB2AC6">
      <w:pPr>
        <w:pStyle w:val="ListParagraph"/>
        <w:numPr>
          <w:ilvl w:val="1"/>
          <w:numId w:val="27"/>
        </w:numPr>
        <w:autoSpaceDE w:val="0"/>
        <w:autoSpaceDN w:val="0"/>
        <w:ind w:left="1560" w:hanging="426"/>
        <w:jc w:val="both"/>
        <w:rPr>
          <w:rFonts w:asciiTheme="majorHAnsi" w:eastAsia="Calibri" w:hAnsiTheme="majorHAnsi" w:cstheme="majorHAnsi"/>
          <w:szCs w:val="24"/>
        </w:rPr>
      </w:pPr>
      <w:r w:rsidRPr="009D67AC">
        <w:rPr>
          <w:rFonts w:asciiTheme="majorHAnsi" w:eastAsia="Calibri" w:hAnsiTheme="majorHAnsi" w:cstheme="majorHAnsi"/>
          <w:szCs w:val="24"/>
        </w:rPr>
        <w:t xml:space="preserve">An ‘Unexpected Death’ is defined as any death that is not an Expected Death. </w:t>
      </w:r>
    </w:p>
    <w:p w14:paraId="731A4684" w14:textId="36523748" w:rsidR="009D67AC" w:rsidRPr="009D67AC" w:rsidRDefault="009D67AC" w:rsidP="00E61DD1">
      <w:pPr>
        <w:pStyle w:val="ListParagraph"/>
        <w:autoSpaceDE w:val="0"/>
        <w:autoSpaceDN w:val="0"/>
        <w:ind w:left="1560"/>
        <w:jc w:val="both"/>
        <w:rPr>
          <w:rFonts w:asciiTheme="majorHAnsi" w:eastAsia="Calibri" w:hAnsiTheme="majorHAnsi" w:cstheme="majorHAnsi"/>
          <w:szCs w:val="24"/>
        </w:rPr>
      </w:pPr>
      <w:r w:rsidRPr="009D67AC">
        <w:rPr>
          <w:rFonts w:asciiTheme="majorHAnsi" w:eastAsia="Calibri" w:hAnsiTheme="majorHAnsi" w:cstheme="majorHAnsi"/>
          <w:szCs w:val="24"/>
        </w:rPr>
        <w:t xml:space="preserve">For example:  </w:t>
      </w:r>
    </w:p>
    <w:p w14:paraId="203BED28" w14:textId="62A5CF71" w:rsidR="005637AA" w:rsidRPr="005637AA" w:rsidRDefault="005637AA" w:rsidP="00AB2AC6">
      <w:pPr>
        <w:pStyle w:val="ListParagraph"/>
        <w:numPr>
          <w:ilvl w:val="3"/>
          <w:numId w:val="23"/>
        </w:numPr>
        <w:autoSpaceDE w:val="0"/>
        <w:autoSpaceDN w:val="0"/>
        <w:ind w:left="1985" w:hanging="425"/>
        <w:jc w:val="both"/>
        <w:rPr>
          <w:rFonts w:asciiTheme="majorHAnsi" w:eastAsia="Calibri" w:hAnsiTheme="majorHAnsi" w:cstheme="majorHAnsi"/>
          <w:szCs w:val="24"/>
        </w:rPr>
      </w:pPr>
      <w:r w:rsidRPr="005637AA">
        <w:rPr>
          <w:rFonts w:asciiTheme="majorHAnsi" w:eastAsia="Calibri" w:hAnsiTheme="majorHAnsi" w:cstheme="majorHAnsi"/>
          <w:szCs w:val="24"/>
        </w:rPr>
        <w:t xml:space="preserve">A death not anticipated during the treatment, intervention, or pathway the patient was admitted for,  </w:t>
      </w:r>
    </w:p>
    <w:p w14:paraId="3605CE14" w14:textId="7688A402" w:rsidR="005637AA" w:rsidRPr="005637AA" w:rsidRDefault="005637AA" w:rsidP="00AB2AC6">
      <w:pPr>
        <w:pStyle w:val="ListParagraph"/>
        <w:numPr>
          <w:ilvl w:val="3"/>
          <w:numId w:val="23"/>
        </w:numPr>
        <w:autoSpaceDE w:val="0"/>
        <w:autoSpaceDN w:val="0"/>
        <w:ind w:left="1985" w:hanging="425"/>
        <w:jc w:val="both"/>
        <w:rPr>
          <w:rFonts w:asciiTheme="majorHAnsi" w:eastAsia="Calibri" w:hAnsiTheme="majorHAnsi" w:cstheme="majorHAnsi"/>
          <w:szCs w:val="24"/>
        </w:rPr>
      </w:pPr>
      <w:r w:rsidRPr="005637AA">
        <w:rPr>
          <w:rFonts w:asciiTheme="majorHAnsi" w:eastAsia="Calibri" w:hAnsiTheme="majorHAnsi" w:cstheme="majorHAnsi"/>
          <w:szCs w:val="24"/>
        </w:rPr>
        <w:t xml:space="preserve">A death of any patient that is not related to the natural course of their illness, </w:t>
      </w:r>
    </w:p>
    <w:p w14:paraId="17BFB819" w14:textId="7308E4D3" w:rsidR="005637AA" w:rsidRPr="005637AA" w:rsidRDefault="005637AA" w:rsidP="00AB2AC6">
      <w:pPr>
        <w:pStyle w:val="ListParagraph"/>
        <w:numPr>
          <w:ilvl w:val="3"/>
          <w:numId w:val="23"/>
        </w:numPr>
        <w:autoSpaceDE w:val="0"/>
        <w:autoSpaceDN w:val="0"/>
        <w:ind w:left="1985" w:hanging="425"/>
        <w:jc w:val="both"/>
        <w:rPr>
          <w:rFonts w:asciiTheme="majorHAnsi" w:eastAsia="Calibri" w:hAnsiTheme="majorHAnsi" w:cstheme="majorHAnsi"/>
          <w:szCs w:val="24"/>
        </w:rPr>
      </w:pPr>
      <w:r w:rsidRPr="005637AA">
        <w:rPr>
          <w:rFonts w:asciiTheme="majorHAnsi" w:eastAsia="Calibri" w:hAnsiTheme="majorHAnsi" w:cstheme="majorHAnsi"/>
          <w:szCs w:val="24"/>
        </w:rPr>
        <w:t xml:space="preserve">A death of a full-term and viable foetus, or neonate, where there was no underlying pathology, </w:t>
      </w:r>
    </w:p>
    <w:p w14:paraId="05A54D1D" w14:textId="7318E9BE" w:rsidR="004D43B4" w:rsidRPr="00103844" w:rsidRDefault="005637AA" w:rsidP="00AB2AC6">
      <w:pPr>
        <w:pStyle w:val="ListParagraph"/>
        <w:numPr>
          <w:ilvl w:val="3"/>
          <w:numId w:val="23"/>
        </w:numPr>
        <w:autoSpaceDE w:val="0"/>
        <w:autoSpaceDN w:val="0"/>
        <w:ind w:left="1985" w:hanging="425"/>
        <w:jc w:val="both"/>
        <w:rPr>
          <w:rFonts w:asciiTheme="majorHAnsi" w:eastAsia="Calibri" w:hAnsiTheme="majorHAnsi" w:cstheme="majorHAnsi"/>
          <w:szCs w:val="24"/>
        </w:rPr>
      </w:pPr>
      <w:r w:rsidRPr="00103844">
        <w:rPr>
          <w:rFonts w:asciiTheme="majorHAnsi" w:eastAsia="Calibri" w:hAnsiTheme="majorHAnsi" w:cstheme="majorHAnsi"/>
          <w:szCs w:val="24"/>
        </w:rPr>
        <w:t>A death of any other person arising out of or in connection with</w:t>
      </w:r>
      <w:r w:rsidR="00151AEB" w:rsidRPr="00103844">
        <w:rPr>
          <w:rFonts w:asciiTheme="majorHAnsi" w:eastAsia="Calibri" w:hAnsiTheme="majorHAnsi" w:cstheme="majorHAnsi"/>
          <w:szCs w:val="24"/>
        </w:rPr>
        <w:t xml:space="preserve"> Spire Healthcare activities</w:t>
      </w:r>
      <w:r w:rsidRPr="00103844">
        <w:rPr>
          <w:rFonts w:asciiTheme="majorHAnsi" w:eastAsia="Calibri" w:hAnsiTheme="majorHAnsi" w:cstheme="majorHAnsi"/>
          <w:szCs w:val="24"/>
        </w:rPr>
        <w:t>; where there was a similar unexpected collapse or incident leading to or precipitating the events which led to the death.</w:t>
      </w:r>
    </w:p>
    <w:p w14:paraId="58986338" w14:textId="12A4A7F5" w:rsidR="009D67AC" w:rsidRPr="009D67AC" w:rsidRDefault="009D67AC" w:rsidP="00E61DD1">
      <w:pPr>
        <w:pStyle w:val="ListParagraph"/>
        <w:autoSpaceDE w:val="0"/>
        <w:autoSpaceDN w:val="0"/>
        <w:ind w:left="1200" w:firstLine="360"/>
        <w:jc w:val="both"/>
        <w:rPr>
          <w:rFonts w:asciiTheme="majorHAnsi" w:eastAsia="Calibri" w:hAnsiTheme="majorHAnsi" w:cstheme="majorHAnsi"/>
          <w:szCs w:val="24"/>
        </w:rPr>
      </w:pPr>
    </w:p>
    <w:p w14:paraId="20214AE2" w14:textId="37A25C2F" w:rsidR="00C423F2" w:rsidRPr="00D24A99" w:rsidRDefault="000E5256" w:rsidP="00CF7BC8">
      <w:pPr>
        <w:pStyle w:val="Heading2"/>
        <w:numPr>
          <w:ilvl w:val="0"/>
          <w:numId w:val="0"/>
        </w:numPr>
        <w:spacing w:after="0"/>
        <w:ind w:left="1122"/>
        <w:jc w:val="both"/>
        <w:rPr>
          <w:b/>
          <w:bCs/>
        </w:rPr>
      </w:pPr>
      <w:r w:rsidRPr="00D24A99">
        <w:rPr>
          <w:b/>
          <w:bCs/>
        </w:rPr>
        <w:t>Case Review (Mortality)</w:t>
      </w:r>
    </w:p>
    <w:p w14:paraId="0E5DD12F" w14:textId="5AF3F2B6" w:rsidR="000E5256" w:rsidRDefault="000E5256" w:rsidP="00E61DD1">
      <w:pPr>
        <w:pStyle w:val="Heading2"/>
        <w:numPr>
          <w:ilvl w:val="0"/>
          <w:numId w:val="0"/>
        </w:numPr>
        <w:spacing w:after="0"/>
        <w:ind w:left="1122"/>
        <w:jc w:val="both"/>
      </w:pPr>
      <w:r w:rsidRPr="000E5256">
        <w:t xml:space="preserve">A structured review of a case record/note, carried out by </w:t>
      </w:r>
      <w:r>
        <w:t>the hospital clinical team</w:t>
      </w:r>
      <w:r w:rsidRPr="000E5256">
        <w:t xml:space="preserve">, to determine whether there were any </w:t>
      </w:r>
      <w:r w:rsidR="00FF430D" w:rsidRPr="00FF430D">
        <w:t xml:space="preserve">safety issues, learning and improvement opportunities </w:t>
      </w:r>
      <w:r w:rsidRPr="000E5256">
        <w:t xml:space="preserve">in the care provided to a patient. Case record review </w:t>
      </w:r>
      <w:r w:rsidR="00FF430D">
        <w:t xml:space="preserve">will be </w:t>
      </w:r>
      <w:r w:rsidRPr="000E5256">
        <w:t xml:space="preserve">undertaken to learn and improve in the absence of any particular concerns about care. This is because it can help find problems where there is no initial suggestion anything has gone wrong. It can also be done where concerns exist, such as when bereaved families or </w:t>
      </w:r>
      <w:r w:rsidR="002A02C7">
        <w:t>colleagues</w:t>
      </w:r>
      <w:r w:rsidRPr="000E5256">
        <w:t xml:space="preserve"> raise concerns about care.</w:t>
      </w:r>
      <w:r w:rsidR="00F774FC">
        <w:t xml:space="preserve"> </w:t>
      </w:r>
    </w:p>
    <w:p w14:paraId="349E7F90" w14:textId="77777777" w:rsidR="00C423F2" w:rsidRPr="000E5256" w:rsidRDefault="00C423F2" w:rsidP="00E61DD1">
      <w:pPr>
        <w:pStyle w:val="Heading2"/>
        <w:numPr>
          <w:ilvl w:val="0"/>
          <w:numId w:val="0"/>
        </w:numPr>
        <w:spacing w:after="0"/>
        <w:ind w:left="1122"/>
        <w:jc w:val="both"/>
      </w:pPr>
    </w:p>
    <w:p w14:paraId="28EC4D88" w14:textId="152F46FA" w:rsidR="00C423F2" w:rsidRPr="00F6530B" w:rsidRDefault="004136DB" w:rsidP="00752249">
      <w:pPr>
        <w:pStyle w:val="Heading2"/>
        <w:numPr>
          <w:ilvl w:val="0"/>
          <w:numId w:val="0"/>
        </w:numPr>
        <w:spacing w:after="0"/>
        <w:ind w:left="1122"/>
        <w:jc w:val="both"/>
        <w:rPr>
          <w:b/>
          <w:bCs/>
        </w:rPr>
      </w:pPr>
      <w:r w:rsidRPr="00F6530B">
        <w:rPr>
          <w:b/>
          <w:bCs/>
        </w:rPr>
        <w:t xml:space="preserve">Independent Mortality Advisor </w:t>
      </w:r>
      <w:r w:rsidR="00C47711" w:rsidRPr="00F6530B">
        <w:rPr>
          <w:b/>
          <w:bCs/>
        </w:rPr>
        <w:t>Review</w:t>
      </w:r>
    </w:p>
    <w:p w14:paraId="4BBC4130" w14:textId="055F3DEF" w:rsidR="00C47711" w:rsidRDefault="00C47711" w:rsidP="00E61DD1">
      <w:pPr>
        <w:pStyle w:val="Heading2"/>
        <w:numPr>
          <w:ilvl w:val="0"/>
          <w:numId w:val="0"/>
        </w:numPr>
        <w:spacing w:after="0"/>
        <w:ind w:left="1122"/>
        <w:jc w:val="both"/>
      </w:pPr>
      <w:r w:rsidRPr="004136DB">
        <w:t xml:space="preserve">An independent review of care to identify any concerns within the delivery of care using a Structured Judgement Review methodology </w:t>
      </w:r>
      <w:r w:rsidR="009B7D51" w:rsidRPr="00080301">
        <w:t>(Royal college of Physicians)</w:t>
      </w:r>
      <w:r w:rsidR="009B7D51">
        <w:t xml:space="preserve"> </w:t>
      </w:r>
      <w:r w:rsidRPr="004136DB">
        <w:t xml:space="preserve">to assess &amp; identify whether there were any factors in relation to avoidability of the death and also provide an overall care score. See </w:t>
      </w:r>
      <w:r w:rsidRPr="00080301">
        <w:t xml:space="preserve">Appendix </w:t>
      </w:r>
      <w:r w:rsidR="00080301">
        <w:t>19</w:t>
      </w:r>
      <w:r w:rsidRPr="004136DB">
        <w:t xml:space="preserve"> regarding timeframes for submitting documentation to the</w:t>
      </w:r>
      <w:r w:rsidR="004136DB" w:rsidRPr="004136DB">
        <w:t xml:space="preserve"> Independent Mortality Advisor.  </w:t>
      </w:r>
      <w:r w:rsidRPr="004136DB">
        <w:t xml:space="preserve"> </w:t>
      </w:r>
    </w:p>
    <w:p w14:paraId="7A089FA6" w14:textId="77777777" w:rsidR="00CE5EB3" w:rsidRDefault="00CE5EB3" w:rsidP="00E61DD1">
      <w:pPr>
        <w:pStyle w:val="Heading2"/>
        <w:numPr>
          <w:ilvl w:val="0"/>
          <w:numId w:val="0"/>
        </w:numPr>
        <w:spacing w:after="0"/>
        <w:ind w:left="1122"/>
        <w:jc w:val="both"/>
      </w:pPr>
    </w:p>
    <w:p w14:paraId="6A0217F5" w14:textId="77777777" w:rsidR="00C423F2" w:rsidRPr="004136DB" w:rsidRDefault="00C423F2" w:rsidP="00E61DD1">
      <w:pPr>
        <w:pStyle w:val="Heading2"/>
        <w:numPr>
          <w:ilvl w:val="0"/>
          <w:numId w:val="0"/>
        </w:numPr>
        <w:spacing w:after="0"/>
        <w:ind w:left="1122"/>
        <w:jc w:val="both"/>
      </w:pPr>
    </w:p>
    <w:p w14:paraId="4D0FCB60" w14:textId="061F4A1A" w:rsidR="00C423F2" w:rsidRPr="00F6530B" w:rsidRDefault="00C47711" w:rsidP="00F6530B">
      <w:pPr>
        <w:pStyle w:val="Heading2"/>
        <w:numPr>
          <w:ilvl w:val="0"/>
          <w:numId w:val="0"/>
        </w:numPr>
        <w:spacing w:after="0"/>
        <w:ind w:left="1134"/>
        <w:jc w:val="both"/>
        <w:rPr>
          <w:b/>
          <w:bCs/>
        </w:rPr>
      </w:pPr>
      <w:r w:rsidRPr="00F6530B">
        <w:rPr>
          <w:b/>
          <w:bCs/>
        </w:rPr>
        <w:t>Oncology Specialist Review</w:t>
      </w:r>
    </w:p>
    <w:p w14:paraId="5C26C4F7" w14:textId="6359B394" w:rsidR="00C47711" w:rsidRDefault="00C47711" w:rsidP="00E61DD1">
      <w:pPr>
        <w:pStyle w:val="Heading2"/>
        <w:numPr>
          <w:ilvl w:val="0"/>
          <w:numId w:val="0"/>
        </w:numPr>
        <w:spacing w:after="0"/>
        <w:ind w:left="1122"/>
        <w:jc w:val="both"/>
      </w:pPr>
      <w:r w:rsidRPr="004136DB">
        <w:t xml:space="preserve">A review of the treatment provided to a patient accessing oncology care </w:t>
      </w:r>
      <w:r w:rsidR="00FD6331">
        <w:t xml:space="preserve">(whose </w:t>
      </w:r>
      <w:r w:rsidR="00FD6331" w:rsidRPr="00FD6331">
        <w:t>death</w:t>
      </w:r>
      <w:r w:rsidR="00FD6331">
        <w:t xml:space="preserve"> is</w:t>
      </w:r>
      <w:r w:rsidR="00FD6331" w:rsidRPr="00FD6331">
        <w:t xml:space="preserve"> within 30 days of SACT or Haematology treatment</w:t>
      </w:r>
      <w:r w:rsidR="00FD6331">
        <w:t xml:space="preserve">) </w:t>
      </w:r>
      <w:r w:rsidRPr="004136DB">
        <w:t>performed by a nominated cancer specialist clinician from within the Spire Healthcare group</w:t>
      </w:r>
      <w:r w:rsidR="004136DB" w:rsidRPr="004136DB">
        <w:t xml:space="preserve">.  </w:t>
      </w:r>
      <w:r w:rsidRPr="004136DB">
        <w:t xml:space="preserve"> </w:t>
      </w:r>
      <w:r w:rsidR="004136DB" w:rsidRPr="004136DB">
        <w:t xml:space="preserve">A Structured Judgement Review methodology </w:t>
      </w:r>
      <w:r w:rsidR="00B97953">
        <w:t xml:space="preserve">will be </w:t>
      </w:r>
      <w:r w:rsidR="004136DB" w:rsidRPr="004136DB">
        <w:t xml:space="preserve">used </w:t>
      </w:r>
      <w:r w:rsidRPr="004136DB">
        <w:t>to identify whether the plan of care and management of the patient was appropriate to the diagnosis / prognosis of the patient</w:t>
      </w:r>
      <w:r w:rsidR="004136DB" w:rsidRPr="004136DB">
        <w:t xml:space="preserve"> and </w:t>
      </w:r>
      <w:r w:rsidRPr="004136DB">
        <w:t xml:space="preserve">to </w:t>
      </w:r>
      <w:r w:rsidR="004136DB" w:rsidRPr="004136DB">
        <w:t>i</w:t>
      </w:r>
      <w:r w:rsidRPr="004136DB">
        <w:t>dentify whether there were any factors in relation to avoidability of the death provid</w:t>
      </w:r>
      <w:r w:rsidR="004136DB" w:rsidRPr="004136DB">
        <w:t xml:space="preserve">ing </w:t>
      </w:r>
      <w:r w:rsidRPr="004136DB">
        <w:t>an overall care score.</w:t>
      </w:r>
    </w:p>
    <w:p w14:paraId="1C8580D0" w14:textId="77777777" w:rsidR="00C423F2" w:rsidRDefault="00C423F2" w:rsidP="00E61DD1">
      <w:pPr>
        <w:pStyle w:val="Heading2"/>
        <w:numPr>
          <w:ilvl w:val="0"/>
          <w:numId w:val="0"/>
        </w:numPr>
        <w:spacing w:after="0"/>
        <w:ind w:left="1122"/>
        <w:jc w:val="both"/>
      </w:pPr>
    </w:p>
    <w:p w14:paraId="599918C3" w14:textId="5183EE78" w:rsidR="000B4A67" w:rsidRPr="000E5256" w:rsidRDefault="003D7A87" w:rsidP="00F6530B">
      <w:pPr>
        <w:pStyle w:val="Heading2"/>
        <w:numPr>
          <w:ilvl w:val="0"/>
          <w:numId w:val="0"/>
        </w:numPr>
        <w:spacing w:after="0"/>
        <w:ind w:left="762" w:firstLine="372"/>
        <w:jc w:val="both"/>
      </w:pPr>
      <w:r w:rsidRPr="00F6530B">
        <w:rPr>
          <w:b/>
          <w:bCs/>
        </w:rPr>
        <w:t>Group Mortality Review Committee</w:t>
      </w:r>
    </w:p>
    <w:p w14:paraId="7F88C8FA" w14:textId="0FDA95C9" w:rsidR="000E5256" w:rsidRDefault="000E5256" w:rsidP="00E61DD1">
      <w:pPr>
        <w:pStyle w:val="Heading2"/>
        <w:numPr>
          <w:ilvl w:val="0"/>
          <w:numId w:val="0"/>
        </w:numPr>
        <w:spacing w:after="0"/>
        <w:ind w:left="1122"/>
        <w:jc w:val="both"/>
      </w:pPr>
      <w:r>
        <w:t xml:space="preserve">The </w:t>
      </w:r>
      <w:r w:rsidRPr="000E5256">
        <w:t xml:space="preserve">Associate Medical Director undertakes </w:t>
      </w:r>
      <w:r>
        <w:t xml:space="preserve">a Structured Judgement Review of all </w:t>
      </w:r>
      <w:r w:rsidR="007421E8">
        <w:t xml:space="preserve">deaths within 30 days of surgery </w:t>
      </w:r>
      <w:r w:rsidR="004D0F2A" w:rsidRPr="004D0F2A">
        <w:t xml:space="preserve">(and others where issues were identified) </w:t>
      </w:r>
      <w:r>
        <w:t xml:space="preserve">using the Case Review, IMA review and </w:t>
      </w:r>
      <w:r w:rsidRPr="000E5256">
        <w:t>health records</w:t>
      </w:r>
      <w:r>
        <w:t>.</w:t>
      </w:r>
      <w:r w:rsidR="00CA4A86">
        <w:t xml:space="preserve"> This review is presented to the Group Mortality Review Committee. </w:t>
      </w:r>
    </w:p>
    <w:p w14:paraId="520A05DA" w14:textId="77777777" w:rsidR="004D0F2A" w:rsidRDefault="001118BB" w:rsidP="00E61DD1">
      <w:pPr>
        <w:pStyle w:val="Heading2"/>
        <w:numPr>
          <w:ilvl w:val="0"/>
          <w:numId w:val="0"/>
        </w:numPr>
        <w:spacing w:after="0"/>
        <w:ind w:left="1122"/>
        <w:jc w:val="both"/>
      </w:pPr>
      <w:r>
        <w:t xml:space="preserve">The committee carries out </w:t>
      </w:r>
      <w:r w:rsidR="00862171">
        <w:t>a systematic</w:t>
      </w:r>
      <w:r w:rsidR="003D7A87">
        <w:t xml:space="preserve"> exercise to review a series of individual case records using a structured methodology to identify any problems in care and to draw learning or conclusions to inform any further action that is needed to improve care within a setting or for a particular group of patients. </w:t>
      </w:r>
      <w:r w:rsidR="00550ADE">
        <w:t>This is p</w:t>
      </w:r>
      <w:r w:rsidR="003D7A87">
        <w:t xml:space="preserve">erformed on a quarterly </w:t>
      </w:r>
      <w:r w:rsidR="00862171">
        <w:t>basis;</w:t>
      </w:r>
      <w:r w:rsidR="003047B3">
        <w:t xml:space="preserve"> the committee agrees </w:t>
      </w:r>
      <w:r w:rsidR="00E8555D">
        <w:t>the avoidability and overall care score</w:t>
      </w:r>
      <w:r w:rsidR="00E617A8">
        <w:t xml:space="preserve">. </w:t>
      </w:r>
    </w:p>
    <w:p w14:paraId="38A88A90" w14:textId="77777777" w:rsidR="00E53F35" w:rsidRDefault="00E02FBA" w:rsidP="00E61DD1">
      <w:pPr>
        <w:pStyle w:val="Heading2"/>
        <w:numPr>
          <w:ilvl w:val="0"/>
          <w:numId w:val="0"/>
        </w:numPr>
        <w:spacing w:after="0"/>
        <w:ind w:left="1122"/>
        <w:jc w:val="both"/>
      </w:pPr>
      <w:r>
        <w:t xml:space="preserve">In addition, all oncology </w:t>
      </w:r>
      <w:r w:rsidR="004F1219">
        <w:t xml:space="preserve">mortality reviews will be discussed at the </w:t>
      </w:r>
      <w:r w:rsidR="00E53F35">
        <w:t>Group Mortality Committee.</w:t>
      </w:r>
    </w:p>
    <w:p w14:paraId="026E6B36" w14:textId="69713FC6" w:rsidR="000B4A67" w:rsidRDefault="00E617A8" w:rsidP="00E61DD1">
      <w:pPr>
        <w:pStyle w:val="Heading2"/>
        <w:numPr>
          <w:ilvl w:val="0"/>
          <w:numId w:val="0"/>
        </w:numPr>
        <w:spacing w:after="0"/>
        <w:ind w:left="1122"/>
        <w:jc w:val="both"/>
      </w:pPr>
      <w:r>
        <w:t xml:space="preserve">Following this </w:t>
      </w:r>
      <w:r w:rsidR="003D7A87">
        <w:t>a thematic review of patient deaths to promote learnings / actions group wide, with a particular focus on all deaths within 31 days of surgery/treatment/medical care</w:t>
      </w:r>
      <w:r w:rsidR="003047B3">
        <w:t xml:space="preserve"> is undertaken</w:t>
      </w:r>
      <w:r w:rsidR="003D7A87">
        <w:t>.</w:t>
      </w:r>
      <w:r w:rsidR="00323D60">
        <w:t xml:space="preserve"> The Committee reports </w:t>
      </w:r>
      <w:r w:rsidR="00862171">
        <w:t>into</w:t>
      </w:r>
      <w:r w:rsidR="00323D60">
        <w:t xml:space="preserve"> Safety Quality &amp; Risk Committee. </w:t>
      </w:r>
    </w:p>
    <w:p w14:paraId="04F5494E" w14:textId="6157DAB6" w:rsidR="003D7A87" w:rsidRDefault="003D7A87" w:rsidP="00E61DD1">
      <w:pPr>
        <w:pStyle w:val="Heading2"/>
        <w:numPr>
          <w:ilvl w:val="0"/>
          <w:numId w:val="0"/>
        </w:numPr>
        <w:spacing w:after="0"/>
        <w:ind w:left="1122"/>
        <w:jc w:val="both"/>
      </w:pPr>
      <w:r>
        <w:t xml:space="preserve"> </w:t>
      </w:r>
    </w:p>
    <w:p w14:paraId="520C2D2D" w14:textId="51E6C6BC" w:rsidR="000E5256" w:rsidRPr="000E5256" w:rsidRDefault="000E5256" w:rsidP="00AB2AC6">
      <w:pPr>
        <w:pStyle w:val="Heading2"/>
        <w:numPr>
          <w:ilvl w:val="0"/>
          <w:numId w:val="26"/>
        </w:numPr>
        <w:spacing w:after="0"/>
        <w:jc w:val="both"/>
        <w:rPr>
          <w:b/>
          <w:bCs/>
        </w:rPr>
      </w:pPr>
      <w:r w:rsidRPr="000E5256">
        <w:rPr>
          <w:b/>
          <w:bCs/>
        </w:rPr>
        <w:t>Avoidability Scores</w:t>
      </w:r>
    </w:p>
    <w:p w14:paraId="744BE21B" w14:textId="1AE28E84" w:rsidR="007131E9" w:rsidRDefault="007131E9" w:rsidP="00AB2AC6">
      <w:pPr>
        <w:pStyle w:val="Heading2"/>
        <w:numPr>
          <w:ilvl w:val="0"/>
          <w:numId w:val="29"/>
        </w:numPr>
        <w:spacing w:after="0"/>
        <w:jc w:val="both"/>
      </w:pPr>
      <w:r>
        <w:t>Definitely avoidable</w:t>
      </w:r>
    </w:p>
    <w:p w14:paraId="1E2E0C9D" w14:textId="7DB7DDB5" w:rsidR="007131E9" w:rsidRDefault="007131E9" w:rsidP="00AB2AC6">
      <w:pPr>
        <w:pStyle w:val="Heading2"/>
        <w:numPr>
          <w:ilvl w:val="0"/>
          <w:numId w:val="29"/>
        </w:numPr>
        <w:spacing w:after="0"/>
        <w:jc w:val="both"/>
      </w:pPr>
      <w:r>
        <w:t>Strong evidence of avoidability</w:t>
      </w:r>
    </w:p>
    <w:p w14:paraId="67A69E9A" w14:textId="2C659B47" w:rsidR="007131E9" w:rsidRDefault="007131E9" w:rsidP="00AB2AC6">
      <w:pPr>
        <w:pStyle w:val="Heading2"/>
        <w:numPr>
          <w:ilvl w:val="0"/>
          <w:numId w:val="29"/>
        </w:numPr>
        <w:spacing w:after="0"/>
        <w:jc w:val="both"/>
      </w:pPr>
      <w:r>
        <w:t>Probably avoidable (more than 50:50)</w:t>
      </w:r>
    </w:p>
    <w:p w14:paraId="58FB238E" w14:textId="77777777" w:rsidR="00CC49F8" w:rsidRDefault="007131E9" w:rsidP="00AB2AC6">
      <w:pPr>
        <w:pStyle w:val="Heading2"/>
        <w:numPr>
          <w:ilvl w:val="0"/>
          <w:numId w:val="29"/>
        </w:numPr>
        <w:spacing w:after="0"/>
        <w:jc w:val="both"/>
      </w:pPr>
      <w:r>
        <w:t>Possibly avoidable but not very likely (less than 50:50)</w:t>
      </w:r>
    </w:p>
    <w:p w14:paraId="5C766BAB" w14:textId="1DB662CE" w:rsidR="007131E9" w:rsidRDefault="00CC49F8" w:rsidP="00AB2AC6">
      <w:pPr>
        <w:pStyle w:val="Heading2"/>
        <w:numPr>
          <w:ilvl w:val="0"/>
          <w:numId w:val="29"/>
        </w:numPr>
        <w:spacing w:after="0"/>
        <w:jc w:val="both"/>
      </w:pPr>
      <w:r>
        <w:t>S</w:t>
      </w:r>
      <w:r w:rsidR="007131E9">
        <w:t>light evidence of avoidability</w:t>
      </w:r>
    </w:p>
    <w:p w14:paraId="6465C0FB" w14:textId="41AB2A5B" w:rsidR="007131E9" w:rsidRDefault="007131E9" w:rsidP="00AB2AC6">
      <w:pPr>
        <w:pStyle w:val="Heading2"/>
        <w:numPr>
          <w:ilvl w:val="0"/>
          <w:numId w:val="29"/>
        </w:numPr>
        <w:spacing w:after="0"/>
        <w:jc w:val="both"/>
      </w:pPr>
      <w:r>
        <w:t>Definitely not avoidable</w:t>
      </w:r>
    </w:p>
    <w:p w14:paraId="286A35F7" w14:textId="77777777" w:rsidR="004E71AA" w:rsidRDefault="004E71AA" w:rsidP="004E71AA">
      <w:pPr>
        <w:pStyle w:val="Heading2"/>
        <w:numPr>
          <w:ilvl w:val="0"/>
          <w:numId w:val="0"/>
        </w:numPr>
        <w:spacing w:after="0"/>
        <w:ind w:left="1482"/>
        <w:jc w:val="both"/>
      </w:pPr>
    </w:p>
    <w:p w14:paraId="49D74EDE" w14:textId="6A061BFE" w:rsidR="004E71AA" w:rsidRPr="000E5256" w:rsidRDefault="004E71AA" w:rsidP="00AB2AC6">
      <w:pPr>
        <w:pStyle w:val="Heading2"/>
        <w:numPr>
          <w:ilvl w:val="0"/>
          <w:numId w:val="26"/>
        </w:numPr>
        <w:spacing w:after="0"/>
        <w:jc w:val="both"/>
        <w:rPr>
          <w:b/>
          <w:bCs/>
        </w:rPr>
      </w:pPr>
      <w:r>
        <w:rPr>
          <w:b/>
          <w:bCs/>
        </w:rPr>
        <w:t>Overall Care Scores</w:t>
      </w:r>
    </w:p>
    <w:p w14:paraId="63F96CD8" w14:textId="3181373D" w:rsidR="004E71AA" w:rsidRDefault="004E71AA" w:rsidP="00AB2AC6">
      <w:pPr>
        <w:pStyle w:val="Heading2"/>
        <w:numPr>
          <w:ilvl w:val="0"/>
          <w:numId w:val="30"/>
        </w:numPr>
        <w:spacing w:after="0"/>
        <w:jc w:val="both"/>
      </w:pPr>
      <w:r>
        <w:t>Very Poor Care</w:t>
      </w:r>
    </w:p>
    <w:p w14:paraId="72D17E45" w14:textId="0BFD269E" w:rsidR="004E71AA" w:rsidRDefault="004E71AA" w:rsidP="00AB2AC6">
      <w:pPr>
        <w:pStyle w:val="Heading2"/>
        <w:numPr>
          <w:ilvl w:val="0"/>
          <w:numId w:val="30"/>
        </w:numPr>
        <w:spacing w:after="0"/>
        <w:jc w:val="both"/>
      </w:pPr>
      <w:r>
        <w:t>Poor Care</w:t>
      </w:r>
    </w:p>
    <w:p w14:paraId="69E61B2B" w14:textId="38334853" w:rsidR="004E71AA" w:rsidRDefault="004E71AA" w:rsidP="00AB2AC6">
      <w:pPr>
        <w:pStyle w:val="Heading2"/>
        <w:numPr>
          <w:ilvl w:val="0"/>
          <w:numId w:val="30"/>
        </w:numPr>
        <w:spacing w:after="0"/>
        <w:jc w:val="both"/>
      </w:pPr>
      <w:r>
        <w:t>Adequate Care</w:t>
      </w:r>
    </w:p>
    <w:p w14:paraId="3BAD356F" w14:textId="18261B5D" w:rsidR="004E71AA" w:rsidRDefault="004E71AA" w:rsidP="00AB2AC6">
      <w:pPr>
        <w:pStyle w:val="Heading2"/>
        <w:numPr>
          <w:ilvl w:val="0"/>
          <w:numId w:val="30"/>
        </w:numPr>
        <w:spacing w:after="0"/>
        <w:jc w:val="both"/>
      </w:pPr>
      <w:r>
        <w:t>Good Care</w:t>
      </w:r>
    </w:p>
    <w:p w14:paraId="7EE7C3FA" w14:textId="363A6C14" w:rsidR="004E71AA" w:rsidRDefault="004E71AA" w:rsidP="00AB2AC6">
      <w:pPr>
        <w:pStyle w:val="Heading2"/>
        <w:numPr>
          <w:ilvl w:val="0"/>
          <w:numId w:val="30"/>
        </w:numPr>
        <w:spacing w:after="0"/>
        <w:jc w:val="both"/>
      </w:pPr>
      <w:r>
        <w:t>Very Good Care</w:t>
      </w:r>
    </w:p>
    <w:p w14:paraId="4A712C65" w14:textId="77777777" w:rsidR="000B4A67" w:rsidRDefault="000B4A67" w:rsidP="00E61DD1">
      <w:pPr>
        <w:pStyle w:val="Heading2"/>
        <w:numPr>
          <w:ilvl w:val="0"/>
          <w:numId w:val="0"/>
        </w:numPr>
        <w:spacing w:after="0"/>
        <w:ind w:left="1122"/>
        <w:jc w:val="both"/>
      </w:pPr>
    </w:p>
    <w:p w14:paraId="6271D823" w14:textId="7862B38E" w:rsidR="00F100EB" w:rsidRPr="00F6530B" w:rsidRDefault="007131E9" w:rsidP="00AB2AC6">
      <w:pPr>
        <w:pStyle w:val="ListParagraph"/>
        <w:numPr>
          <w:ilvl w:val="0"/>
          <w:numId w:val="26"/>
        </w:numPr>
        <w:jc w:val="both"/>
        <w:rPr>
          <w:rFonts w:asciiTheme="majorHAnsi" w:eastAsia="Calibri" w:hAnsiTheme="majorHAnsi" w:cstheme="majorHAnsi"/>
          <w:b/>
          <w:bCs/>
          <w:szCs w:val="24"/>
        </w:rPr>
      </w:pPr>
      <w:r w:rsidRPr="00F6530B">
        <w:rPr>
          <w:rFonts w:asciiTheme="majorHAnsi" w:eastAsia="Calibri" w:hAnsiTheme="majorHAnsi" w:cstheme="majorHAnsi"/>
          <w:b/>
          <w:bCs/>
          <w:szCs w:val="24"/>
        </w:rPr>
        <w:t xml:space="preserve">Deaths clinically assessed as more likely than not due to problems in </w:t>
      </w:r>
      <w:r w:rsidR="004B3C05" w:rsidRPr="00F6530B">
        <w:rPr>
          <w:rFonts w:asciiTheme="majorHAnsi" w:eastAsia="Calibri" w:hAnsiTheme="majorHAnsi" w:cstheme="majorHAnsi"/>
          <w:b/>
          <w:bCs/>
          <w:szCs w:val="24"/>
        </w:rPr>
        <w:t>care.</w:t>
      </w:r>
      <w:r w:rsidRPr="00F6530B">
        <w:rPr>
          <w:rFonts w:asciiTheme="majorHAnsi" w:eastAsia="Calibri" w:hAnsiTheme="majorHAnsi" w:cstheme="majorHAnsi"/>
          <w:b/>
          <w:bCs/>
          <w:szCs w:val="24"/>
        </w:rPr>
        <w:t xml:space="preserve"> </w:t>
      </w:r>
    </w:p>
    <w:p w14:paraId="1916FB37" w14:textId="37AE51A5" w:rsidR="007131E9" w:rsidRDefault="007131E9" w:rsidP="00E61DD1">
      <w:pPr>
        <w:pStyle w:val="Heading2"/>
        <w:numPr>
          <w:ilvl w:val="0"/>
          <w:numId w:val="0"/>
        </w:numPr>
        <w:spacing w:after="0"/>
        <w:ind w:left="1122"/>
        <w:jc w:val="both"/>
      </w:pPr>
      <w:r>
        <w:t xml:space="preserve">Spire Healthcare will further investigate deaths which are concluded with an avoidabililty score of </w:t>
      </w:r>
      <w:r w:rsidR="00CB232F">
        <w:t xml:space="preserve">3 or less and/or an </w:t>
      </w:r>
      <w:r w:rsidR="006D7040">
        <w:t>o</w:t>
      </w:r>
      <w:r w:rsidR="00CB232F">
        <w:t xml:space="preserve">verall </w:t>
      </w:r>
      <w:r w:rsidR="006D7040">
        <w:t>c</w:t>
      </w:r>
      <w:r w:rsidR="00CB232F">
        <w:t>are Score of 2 or less</w:t>
      </w:r>
      <w:r w:rsidR="006D7040">
        <w:t xml:space="preserve"> d</w:t>
      </w:r>
      <w:r>
        <w:t xml:space="preserve">uring the mortality review process. </w:t>
      </w:r>
    </w:p>
    <w:p w14:paraId="0BC850DD" w14:textId="77777777" w:rsidR="00B7376C" w:rsidRDefault="007131E9" w:rsidP="00E61DD1">
      <w:pPr>
        <w:pStyle w:val="Heading2"/>
        <w:numPr>
          <w:ilvl w:val="0"/>
          <w:numId w:val="0"/>
        </w:numPr>
        <w:spacing w:after="0"/>
        <w:ind w:left="1122"/>
        <w:jc w:val="both"/>
      </w:pPr>
      <w:r>
        <w:t>These i</w:t>
      </w:r>
      <w:r w:rsidR="000E5256" w:rsidRPr="000E5256">
        <w:t>ncidents</w:t>
      </w:r>
      <w:r>
        <w:t xml:space="preserve"> </w:t>
      </w:r>
      <w:r w:rsidR="000E5256" w:rsidRPr="000E5256">
        <w:t xml:space="preserve">meet the ‘Learning from Deaths’ criteria; that is, deaths </w:t>
      </w:r>
      <w:r w:rsidR="0045059C" w:rsidRPr="000E5256">
        <w:t>clinically assessed</w:t>
      </w:r>
      <w:r w:rsidR="000E5256" w:rsidRPr="000E5256">
        <w:t xml:space="preserve"> as more likely than not due to problems in care</w:t>
      </w:r>
      <w:bookmarkStart w:id="43" w:name="_Hlk152669437"/>
      <w:r>
        <w:t xml:space="preserve"> and within PSIRF also meet the criteria listed in the PSIRF plan for a PSII. </w:t>
      </w:r>
    </w:p>
    <w:p w14:paraId="06A7CC2B" w14:textId="6EC82DD0" w:rsidR="007131E9" w:rsidRDefault="00E43311" w:rsidP="00E61DD1">
      <w:pPr>
        <w:pStyle w:val="Heading2"/>
        <w:numPr>
          <w:ilvl w:val="0"/>
          <w:numId w:val="0"/>
        </w:numPr>
        <w:spacing w:after="0"/>
        <w:ind w:left="1122"/>
        <w:jc w:val="both"/>
      </w:pPr>
      <w:r>
        <w:t xml:space="preserve">The level of harm </w:t>
      </w:r>
      <w:r w:rsidR="00CA7F5D">
        <w:t xml:space="preserve">for deaths concluded with an avoidabililty score of 3 or less </w:t>
      </w:r>
      <w:r>
        <w:t>should be recorded as Fatal.</w:t>
      </w:r>
      <w:r w:rsidR="007131E9">
        <w:t xml:space="preserve"> </w:t>
      </w:r>
    </w:p>
    <w:p w14:paraId="6DACC65D" w14:textId="77777777" w:rsidR="000B4A67" w:rsidRDefault="000B4A67" w:rsidP="00E61DD1">
      <w:pPr>
        <w:pStyle w:val="Heading2"/>
        <w:numPr>
          <w:ilvl w:val="0"/>
          <w:numId w:val="0"/>
        </w:numPr>
        <w:spacing w:after="0"/>
        <w:ind w:left="1122"/>
        <w:jc w:val="both"/>
      </w:pPr>
    </w:p>
    <w:p w14:paraId="56511B6B" w14:textId="67751979" w:rsidR="000B4A67" w:rsidRPr="00F6530B" w:rsidRDefault="006F1841" w:rsidP="00AB2AC6">
      <w:pPr>
        <w:pStyle w:val="ListParagraph"/>
        <w:numPr>
          <w:ilvl w:val="0"/>
          <w:numId w:val="27"/>
        </w:numPr>
        <w:autoSpaceDE w:val="0"/>
        <w:autoSpaceDN w:val="0"/>
        <w:jc w:val="both"/>
        <w:rPr>
          <w:rFonts w:asciiTheme="majorHAnsi" w:eastAsia="Calibri" w:hAnsiTheme="majorHAnsi" w:cstheme="majorHAnsi"/>
          <w:b/>
          <w:bCs/>
          <w:szCs w:val="24"/>
        </w:rPr>
      </w:pPr>
      <w:r w:rsidRPr="009D67AC">
        <w:rPr>
          <w:rFonts w:asciiTheme="majorHAnsi" w:eastAsia="Calibri" w:hAnsiTheme="majorHAnsi" w:cstheme="majorHAnsi"/>
          <w:b/>
          <w:bCs/>
          <w:szCs w:val="24"/>
        </w:rPr>
        <w:t>E</w:t>
      </w:r>
      <w:r>
        <w:rPr>
          <w:rFonts w:asciiTheme="majorHAnsi" w:eastAsia="Calibri" w:hAnsiTheme="majorHAnsi" w:cstheme="majorHAnsi"/>
          <w:b/>
          <w:bCs/>
          <w:szCs w:val="24"/>
        </w:rPr>
        <w:t xml:space="preserve">xternal reporting </w:t>
      </w:r>
      <w:r w:rsidR="00484FFA">
        <w:rPr>
          <w:rFonts w:asciiTheme="majorHAnsi" w:eastAsia="Calibri" w:hAnsiTheme="majorHAnsi" w:cstheme="majorHAnsi"/>
          <w:b/>
          <w:bCs/>
          <w:szCs w:val="24"/>
        </w:rPr>
        <w:t xml:space="preserve">of deaths </w:t>
      </w:r>
    </w:p>
    <w:p w14:paraId="45CDCE10" w14:textId="3A2C2C68" w:rsidR="007F38C6" w:rsidRPr="007F38C6" w:rsidRDefault="00484FFA" w:rsidP="00AB2AC6">
      <w:pPr>
        <w:pStyle w:val="ListParagraph"/>
        <w:numPr>
          <w:ilvl w:val="1"/>
          <w:numId w:val="27"/>
        </w:numPr>
        <w:autoSpaceDE w:val="0"/>
        <w:autoSpaceDN w:val="0"/>
        <w:jc w:val="both"/>
        <w:rPr>
          <w:rFonts w:asciiTheme="majorHAnsi" w:eastAsia="Calibri" w:hAnsiTheme="majorHAnsi" w:cstheme="majorHAnsi"/>
          <w:b/>
          <w:bCs/>
          <w:szCs w:val="24"/>
        </w:rPr>
      </w:pPr>
      <w:r w:rsidRPr="00C66384">
        <w:rPr>
          <w:rFonts w:asciiTheme="majorHAnsi" w:eastAsia="Calibri" w:hAnsiTheme="majorHAnsi" w:cstheme="majorHAnsi"/>
          <w:b/>
          <w:bCs/>
          <w:szCs w:val="24"/>
        </w:rPr>
        <w:t>CQC</w:t>
      </w:r>
      <w:r w:rsidR="00AC1415" w:rsidRPr="00C66384">
        <w:rPr>
          <w:rFonts w:asciiTheme="majorHAnsi" w:eastAsia="Calibri" w:hAnsiTheme="majorHAnsi" w:cstheme="majorHAnsi"/>
          <w:b/>
          <w:bCs/>
          <w:szCs w:val="24"/>
        </w:rPr>
        <w:t>/HIS/HIW</w:t>
      </w:r>
      <w:r w:rsidRPr="00C66384">
        <w:rPr>
          <w:rFonts w:asciiTheme="majorHAnsi" w:eastAsia="Calibri" w:hAnsiTheme="majorHAnsi" w:cstheme="majorHAnsi"/>
          <w:b/>
          <w:bCs/>
          <w:szCs w:val="24"/>
        </w:rPr>
        <w:t xml:space="preserve"> </w:t>
      </w:r>
      <w:r w:rsidR="00425D7B" w:rsidRPr="00C66384">
        <w:rPr>
          <w:rFonts w:asciiTheme="majorHAnsi" w:eastAsia="Calibri" w:hAnsiTheme="majorHAnsi" w:cstheme="majorHAnsi"/>
          <w:b/>
          <w:bCs/>
          <w:szCs w:val="24"/>
        </w:rPr>
        <w:t xml:space="preserve">– </w:t>
      </w:r>
      <w:r w:rsidR="00425D7B" w:rsidRPr="008433B7">
        <w:rPr>
          <w:rFonts w:asciiTheme="majorHAnsi" w:eastAsia="Calibri" w:hAnsiTheme="majorHAnsi" w:cstheme="majorHAnsi"/>
          <w:szCs w:val="24"/>
        </w:rPr>
        <w:t xml:space="preserve">notification of a person </w:t>
      </w:r>
      <w:r w:rsidR="00AC1415" w:rsidRPr="008433B7">
        <w:rPr>
          <w:rFonts w:asciiTheme="majorHAnsi" w:eastAsia="Calibri" w:hAnsiTheme="majorHAnsi" w:cstheme="majorHAnsi"/>
          <w:szCs w:val="24"/>
        </w:rPr>
        <w:t xml:space="preserve">who </w:t>
      </w:r>
      <w:r w:rsidR="00425D7B" w:rsidRPr="008433B7">
        <w:rPr>
          <w:rFonts w:asciiTheme="majorHAnsi" w:eastAsia="Calibri" w:hAnsiTheme="majorHAnsi" w:cstheme="majorHAnsi"/>
          <w:szCs w:val="24"/>
        </w:rPr>
        <w:t xml:space="preserve">has died </w:t>
      </w:r>
      <w:r w:rsidR="00AC1415" w:rsidRPr="008433B7">
        <w:rPr>
          <w:rFonts w:asciiTheme="majorHAnsi" w:eastAsia="Calibri" w:hAnsiTheme="majorHAnsi" w:cstheme="majorHAnsi"/>
          <w:szCs w:val="24"/>
        </w:rPr>
        <w:t>during an a</w:t>
      </w:r>
      <w:r w:rsidR="00425D7B" w:rsidRPr="008433B7">
        <w:rPr>
          <w:rFonts w:asciiTheme="majorHAnsi" w:eastAsia="Calibri" w:hAnsiTheme="majorHAnsi" w:cstheme="majorHAnsi"/>
          <w:szCs w:val="24"/>
        </w:rPr>
        <w:t xml:space="preserve">ctivity </w:t>
      </w:r>
      <w:r w:rsidR="00AC1415" w:rsidRPr="008433B7">
        <w:rPr>
          <w:rFonts w:asciiTheme="majorHAnsi" w:eastAsia="Calibri" w:hAnsiTheme="majorHAnsi" w:cstheme="majorHAnsi"/>
          <w:szCs w:val="24"/>
        </w:rPr>
        <w:t>provided by Spire Healthcare</w:t>
      </w:r>
      <w:r w:rsidR="00C66384" w:rsidRPr="008433B7">
        <w:rPr>
          <w:rFonts w:asciiTheme="majorHAnsi" w:eastAsia="Calibri" w:hAnsiTheme="majorHAnsi" w:cstheme="majorHAnsi"/>
          <w:szCs w:val="24"/>
        </w:rPr>
        <w:t>; or where the</w:t>
      </w:r>
      <w:r w:rsidR="00425D7B" w:rsidRPr="008433B7">
        <w:rPr>
          <w:rFonts w:asciiTheme="majorHAnsi" w:eastAsia="Calibri" w:hAnsiTheme="majorHAnsi" w:cstheme="majorHAnsi"/>
          <w:szCs w:val="24"/>
        </w:rPr>
        <w:t xml:space="preserve"> person’s death may have been a result of the activity or how it was provided.</w:t>
      </w:r>
    </w:p>
    <w:p w14:paraId="17A96D2F" w14:textId="5F1AFB42" w:rsidR="00C66384" w:rsidRDefault="00C66384" w:rsidP="00AB2AC6">
      <w:pPr>
        <w:pStyle w:val="ListParagraph"/>
        <w:numPr>
          <w:ilvl w:val="1"/>
          <w:numId w:val="27"/>
        </w:numPr>
        <w:autoSpaceDE w:val="0"/>
        <w:autoSpaceDN w:val="0"/>
        <w:jc w:val="both"/>
        <w:rPr>
          <w:rFonts w:asciiTheme="majorHAnsi" w:eastAsia="Calibri" w:hAnsiTheme="majorHAnsi" w:cstheme="majorHAnsi"/>
          <w:szCs w:val="24"/>
        </w:rPr>
      </w:pPr>
      <w:r w:rsidRPr="008433B7">
        <w:rPr>
          <w:rFonts w:asciiTheme="majorHAnsi" w:eastAsia="Calibri" w:hAnsiTheme="majorHAnsi" w:cstheme="majorHAnsi"/>
          <w:b/>
          <w:bCs/>
          <w:szCs w:val="24"/>
        </w:rPr>
        <w:t>P</w:t>
      </w:r>
      <w:r w:rsidR="00CF47C0">
        <w:rPr>
          <w:rFonts w:asciiTheme="majorHAnsi" w:eastAsia="Calibri" w:hAnsiTheme="majorHAnsi" w:cstheme="majorHAnsi"/>
          <w:b/>
          <w:bCs/>
          <w:szCs w:val="24"/>
        </w:rPr>
        <w:t>rivate Healthcare Information Network (PHIN)</w:t>
      </w:r>
      <w:r w:rsidRPr="008433B7">
        <w:rPr>
          <w:rFonts w:asciiTheme="majorHAnsi" w:eastAsia="Calibri" w:hAnsiTheme="majorHAnsi" w:cstheme="majorHAnsi"/>
          <w:b/>
          <w:bCs/>
          <w:szCs w:val="24"/>
        </w:rPr>
        <w:t xml:space="preserve"> </w:t>
      </w:r>
      <w:r w:rsidR="00C04E21">
        <w:rPr>
          <w:rFonts w:asciiTheme="majorHAnsi" w:eastAsia="Calibri" w:hAnsiTheme="majorHAnsi" w:cstheme="majorHAnsi"/>
          <w:szCs w:val="24"/>
        </w:rPr>
        <w:t>–</w:t>
      </w:r>
      <w:r w:rsidRPr="008433B7">
        <w:rPr>
          <w:rFonts w:asciiTheme="majorHAnsi" w:eastAsia="Calibri" w:hAnsiTheme="majorHAnsi" w:cstheme="majorHAnsi"/>
          <w:szCs w:val="24"/>
        </w:rPr>
        <w:t xml:space="preserve"> </w:t>
      </w:r>
      <w:r w:rsidR="00AD6B1F" w:rsidRPr="008433B7">
        <w:rPr>
          <w:rFonts w:asciiTheme="majorHAnsi" w:eastAsia="Calibri" w:hAnsiTheme="majorHAnsi" w:cstheme="majorHAnsi"/>
          <w:szCs w:val="24"/>
        </w:rPr>
        <w:t>To ensure transparency, hospitals are required to provide PHIN with data about incidents in their care.</w:t>
      </w:r>
      <w:r w:rsidR="00DE2491" w:rsidRPr="008433B7">
        <w:rPr>
          <w:rFonts w:asciiTheme="majorHAnsi" w:eastAsia="Calibri" w:hAnsiTheme="majorHAnsi" w:cstheme="majorHAnsi"/>
          <w:szCs w:val="24"/>
        </w:rPr>
        <w:t xml:space="preserve">  From February 2024 this will include mortality sp</w:t>
      </w:r>
      <w:r w:rsidR="00FE79B7" w:rsidRPr="008433B7">
        <w:rPr>
          <w:rFonts w:asciiTheme="majorHAnsi" w:eastAsia="Calibri" w:hAnsiTheme="majorHAnsi" w:cstheme="majorHAnsi"/>
          <w:szCs w:val="24"/>
        </w:rPr>
        <w:t>l</w:t>
      </w:r>
      <w:r w:rsidR="00DE2491" w:rsidRPr="008433B7">
        <w:rPr>
          <w:rFonts w:asciiTheme="majorHAnsi" w:eastAsia="Calibri" w:hAnsiTheme="majorHAnsi" w:cstheme="majorHAnsi"/>
          <w:szCs w:val="24"/>
        </w:rPr>
        <w:t xml:space="preserve">it </w:t>
      </w:r>
      <w:r w:rsidR="00103844" w:rsidRPr="008433B7">
        <w:rPr>
          <w:rFonts w:asciiTheme="majorHAnsi" w:eastAsia="Calibri" w:hAnsiTheme="majorHAnsi" w:cstheme="majorHAnsi"/>
          <w:szCs w:val="24"/>
        </w:rPr>
        <w:t xml:space="preserve">by ‘expected’ or ‘unexpected’.  </w:t>
      </w:r>
    </w:p>
    <w:p w14:paraId="67F3F0D5" w14:textId="77777777" w:rsidR="00CE5EB3" w:rsidRDefault="00CE5EB3" w:rsidP="00CE5EB3">
      <w:pPr>
        <w:autoSpaceDE w:val="0"/>
        <w:autoSpaceDN w:val="0"/>
        <w:jc w:val="both"/>
        <w:rPr>
          <w:rFonts w:asciiTheme="majorHAnsi" w:eastAsia="Calibri" w:hAnsiTheme="majorHAnsi" w:cstheme="majorHAnsi"/>
          <w:szCs w:val="24"/>
        </w:rPr>
      </w:pPr>
    </w:p>
    <w:p w14:paraId="34083207" w14:textId="77777777" w:rsidR="00CE5EB3" w:rsidRPr="00CE5EB3" w:rsidRDefault="00CE5EB3" w:rsidP="00CE5EB3">
      <w:pPr>
        <w:autoSpaceDE w:val="0"/>
        <w:autoSpaceDN w:val="0"/>
        <w:jc w:val="both"/>
        <w:rPr>
          <w:rFonts w:asciiTheme="majorHAnsi" w:eastAsia="Calibri" w:hAnsiTheme="majorHAnsi" w:cstheme="majorHAnsi"/>
          <w:szCs w:val="24"/>
        </w:rPr>
      </w:pPr>
    </w:p>
    <w:bookmarkEnd w:id="43"/>
    <w:p w14:paraId="0B723B57" w14:textId="77777777" w:rsidR="003D7A87" w:rsidRDefault="003D7A87" w:rsidP="00E61DD1">
      <w:pPr>
        <w:pStyle w:val="Heading2"/>
        <w:numPr>
          <w:ilvl w:val="0"/>
          <w:numId w:val="0"/>
        </w:numPr>
        <w:spacing w:after="0"/>
        <w:ind w:left="762" w:hanging="567"/>
        <w:jc w:val="both"/>
      </w:pPr>
    </w:p>
    <w:p w14:paraId="431E0137" w14:textId="0954F218" w:rsidR="00795F90" w:rsidRPr="004B3C05" w:rsidRDefault="004B3C05" w:rsidP="00AB2AC6">
      <w:pPr>
        <w:pStyle w:val="Heading1"/>
        <w:rPr>
          <w:caps w:val="0"/>
          <w:color w:val="008385"/>
        </w:rPr>
      </w:pPr>
      <w:bookmarkStart w:id="44" w:name="_Toc159429865"/>
      <w:r w:rsidRPr="004B3C05">
        <w:rPr>
          <w:caps w:val="0"/>
          <w:color w:val="008385"/>
        </w:rPr>
        <w:t>OVERSIGHT ROLES AND RESPONSIBILITIES</w:t>
      </w:r>
      <w:bookmarkEnd w:id="44"/>
    </w:p>
    <w:p w14:paraId="6F78204F" w14:textId="77777777" w:rsidR="00105695" w:rsidRDefault="00105695" w:rsidP="00E61DD1">
      <w:pPr>
        <w:pStyle w:val="Heading1"/>
        <w:numPr>
          <w:ilvl w:val="0"/>
          <w:numId w:val="0"/>
        </w:numPr>
        <w:ind w:left="762"/>
      </w:pPr>
    </w:p>
    <w:p w14:paraId="1DB60080" w14:textId="150AF8D0" w:rsidR="00F31A3A" w:rsidRDefault="00F31A3A" w:rsidP="00AB2AC6">
      <w:pPr>
        <w:pStyle w:val="Heading2"/>
        <w:numPr>
          <w:ilvl w:val="1"/>
          <w:numId w:val="21"/>
        </w:numPr>
        <w:spacing w:after="0"/>
        <w:jc w:val="both"/>
      </w:pPr>
      <w:r>
        <w:t>Spire Healthcare have followed the NHS England Oversight mindset principles which will underpin the oversight of patient safety incident responses:</w:t>
      </w:r>
    </w:p>
    <w:p w14:paraId="0A3F7FC0" w14:textId="77777777" w:rsidR="000B4A67" w:rsidRDefault="000B4A67" w:rsidP="000B4A67">
      <w:pPr>
        <w:pStyle w:val="Heading2"/>
        <w:numPr>
          <w:ilvl w:val="0"/>
          <w:numId w:val="0"/>
        </w:numPr>
        <w:spacing w:after="0"/>
        <w:ind w:left="762"/>
        <w:jc w:val="both"/>
      </w:pPr>
    </w:p>
    <w:p w14:paraId="4F2C892C" w14:textId="6077A481" w:rsidR="00F31A3A" w:rsidRPr="00570DF2" w:rsidRDefault="00547619" w:rsidP="00AB2AC6">
      <w:pPr>
        <w:pStyle w:val="Heading1"/>
        <w:numPr>
          <w:ilvl w:val="0"/>
          <w:numId w:val="20"/>
        </w:numPr>
        <w:rPr>
          <w:sz w:val="22"/>
          <w:szCs w:val="22"/>
        </w:rPr>
      </w:pPr>
      <w:bookmarkStart w:id="45" w:name="_Toc147696988"/>
      <w:bookmarkStart w:id="46" w:name="_Toc148650895"/>
      <w:bookmarkStart w:id="47" w:name="_Toc155773702"/>
      <w:bookmarkStart w:id="48" w:name="_Toc159429866"/>
      <w:r w:rsidRPr="00570DF2">
        <w:rPr>
          <w:caps w:val="0"/>
          <w:sz w:val="22"/>
          <w:szCs w:val="22"/>
        </w:rPr>
        <w:t>Improvement is the focus</w:t>
      </w:r>
      <w:r w:rsidR="00570DF2" w:rsidRPr="00570DF2">
        <w:rPr>
          <w:caps w:val="0"/>
          <w:sz w:val="22"/>
          <w:szCs w:val="22"/>
        </w:rPr>
        <w:t xml:space="preserve"> of</w:t>
      </w:r>
      <w:r w:rsidRPr="00570DF2">
        <w:rPr>
          <w:caps w:val="0"/>
          <w:sz w:val="22"/>
          <w:szCs w:val="22"/>
        </w:rPr>
        <w:t xml:space="preserve"> </w:t>
      </w:r>
      <w:bookmarkEnd w:id="45"/>
      <w:r w:rsidR="00570DF2" w:rsidRPr="00570DF2">
        <w:rPr>
          <w:caps w:val="0"/>
          <w:sz w:val="22"/>
          <w:szCs w:val="22"/>
        </w:rPr>
        <w:t>PSIRF.</w:t>
      </w:r>
      <w:bookmarkEnd w:id="46"/>
      <w:bookmarkEnd w:id="47"/>
      <w:bookmarkEnd w:id="48"/>
    </w:p>
    <w:p w14:paraId="675A3438" w14:textId="20739ED5" w:rsidR="00F31A3A" w:rsidRDefault="00F31A3A" w:rsidP="00E61DD1">
      <w:pPr>
        <w:pStyle w:val="Heading2"/>
        <w:numPr>
          <w:ilvl w:val="0"/>
          <w:numId w:val="0"/>
        </w:numPr>
        <w:spacing w:after="0"/>
        <w:ind w:left="915"/>
        <w:jc w:val="both"/>
      </w:pPr>
      <w:r>
        <w:t xml:space="preserve">Oversight should focus on enabling and monitoring improvement in the safety of care, not simply monitoring </w:t>
      </w:r>
      <w:r w:rsidR="0090210B">
        <w:t>incident response</w:t>
      </w:r>
      <w:r>
        <w:t xml:space="preserve"> quality. </w:t>
      </w:r>
    </w:p>
    <w:p w14:paraId="090A9530" w14:textId="68EECE9D" w:rsidR="00F31A3A" w:rsidRPr="00570DF2" w:rsidRDefault="00547619" w:rsidP="00AB2AC6">
      <w:pPr>
        <w:pStyle w:val="Heading1"/>
        <w:numPr>
          <w:ilvl w:val="0"/>
          <w:numId w:val="20"/>
        </w:numPr>
        <w:rPr>
          <w:sz w:val="22"/>
          <w:szCs w:val="22"/>
        </w:rPr>
      </w:pPr>
      <w:bookmarkStart w:id="49" w:name="_Toc147696989"/>
      <w:bookmarkStart w:id="50" w:name="_Toc148650896"/>
      <w:bookmarkStart w:id="51" w:name="_Toc155773703"/>
      <w:bookmarkStart w:id="52" w:name="_Toc159429867"/>
      <w:r w:rsidRPr="00570DF2">
        <w:rPr>
          <w:caps w:val="0"/>
          <w:sz w:val="22"/>
          <w:szCs w:val="22"/>
        </w:rPr>
        <w:t>Blame restricts insight</w:t>
      </w:r>
      <w:bookmarkEnd w:id="49"/>
      <w:r w:rsidR="00570DF2" w:rsidRPr="00570DF2">
        <w:rPr>
          <w:caps w:val="0"/>
          <w:sz w:val="22"/>
          <w:szCs w:val="22"/>
        </w:rPr>
        <w:t>.</w:t>
      </w:r>
      <w:bookmarkEnd w:id="50"/>
      <w:bookmarkEnd w:id="51"/>
      <w:bookmarkEnd w:id="52"/>
      <w:r w:rsidRPr="00570DF2">
        <w:rPr>
          <w:caps w:val="0"/>
          <w:sz w:val="22"/>
          <w:szCs w:val="22"/>
        </w:rPr>
        <w:t xml:space="preserve"> </w:t>
      </w:r>
    </w:p>
    <w:p w14:paraId="600F9A10" w14:textId="2346CBE8" w:rsidR="00F31A3A" w:rsidRDefault="00F31A3A" w:rsidP="00E61DD1">
      <w:pPr>
        <w:pStyle w:val="Heading2"/>
        <w:numPr>
          <w:ilvl w:val="0"/>
          <w:numId w:val="0"/>
        </w:numPr>
        <w:spacing w:after="0"/>
        <w:ind w:left="915"/>
        <w:jc w:val="both"/>
      </w:pPr>
      <w:r>
        <w:t xml:space="preserve">Oversight should ensure learning focuses on identifying the system factors that contribute to patient safety incidents, not finding individuals to blame. </w:t>
      </w:r>
    </w:p>
    <w:p w14:paraId="1602D3FF" w14:textId="2BC1F5D1" w:rsidR="00F31A3A" w:rsidRPr="00570DF2" w:rsidRDefault="00F31A3A" w:rsidP="00AB2AC6">
      <w:pPr>
        <w:pStyle w:val="Heading2"/>
        <w:numPr>
          <w:ilvl w:val="0"/>
          <w:numId w:val="20"/>
        </w:numPr>
        <w:spacing w:after="0"/>
        <w:jc w:val="both"/>
        <w:rPr>
          <w:b/>
          <w:bCs/>
          <w:szCs w:val="22"/>
        </w:rPr>
      </w:pPr>
      <w:r w:rsidRPr="00570DF2">
        <w:rPr>
          <w:b/>
          <w:bCs/>
          <w:szCs w:val="22"/>
        </w:rPr>
        <w:t>Learning from patient safety incidents is a proactive step towards improvement</w:t>
      </w:r>
      <w:r w:rsidR="00570DF2" w:rsidRPr="00570DF2">
        <w:rPr>
          <w:b/>
          <w:bCs/>
          <w:szCs w:val="22"/>
        </w:rPr>
        <w:t>.</w:t>
      </w:r>
    </w:p>
    <w:p w14:paraId="7714C91A" w14:textId="77777777" w:rsidR="00F31A3A" w:rsidRDefault="00F31A3A" w:rsidP="00E61DD1">
      <w:pPr>
        <w:pStyle w:val="Heading2"/>
        <w:numPr>
          <w:ilvl w:val="0"/>
          <w:numId w:val="0"/>
        </w:numPr>
        <w:spacing w:after="0"/>
        <w:ind w:left="915"/>
        <w:jc w:val="both"/>
      </w:pPr>
      <w:r>
        <w:t xml:space="preserve">Responding to a patient safety incident for learning is an active strategy towards continuous improvement, not a reflection of an organisation having done something wrong. </w:t>
      </w:r>
    </w:p>
    <w:p w14:paraId="0B2C3F41" w14:textId="451214D1" w:rsidR="00F31A3A" w:rsidRPr="00570DF2" w:rsidRDefault="00F31A3A" w:rsidP="00AB2AC6">
      <w:pPr>
        <w:pStyle w:val="Heading2"/>
        <w:numPr>
          <w:ilvl w:val="0"/>
          <w:numId w:val="20"/>
        </w:numPr>
        <w:spacing w:after="0"/>
        <w:jc w:val="both"/>
        <w:rPr>
          <w:b/>
          <w:bCs/>
          <w:szCs w:val="22"/>
        </w:rPr>
      </w:pPr>
      <w:r w:rsidRPr="00570DF2">
        <w:rPr>
          <w:b/>
          <w:bCs/>
          <w:szCs w:val="22"/>
        </w:rPr>
        <w:t>Collaboration is key</w:t>
      </w:r>
      <w:r w:rsidR="00570DF2" w:rsidRPr="00570DF2">
        <w:rPr>
          <w:b/>
          <w:bCs/>
          <w:szCs w:val="22"/>
        </w:rPr>
        <w:t>.</w:t>
      </w:r>
      <w:r w:rsidRPr="00570DF2">
        <w:rPr>
          <w:b/>
          <w:bCs/>
          <w:szCs w:val="22"/>
        </w:rPr>
        <w:t xml:space="preserve"> </w:t>
      </w:r>
    </w:p>
    <w:p w14:paraId="74044FD3" w14:textId="462C7A85" w:rsidR="00F31A3A" w:rsidRDefault="00F31A3A" w:rsidP="00E61DD1">
      <w:pPr>
        <w:pStyle w:val="Heading2"/>
        <w:numPr>
          <w:ilvl w:val="0"/>
          <w:numId w:val="0"/>
        </w:numPr>
        <w:spacing w:after="0"/>
        <w:ind w:left="915"/>
        <w:jc w:val="both"/>
      </w:pPr>
      <w:r>
        <w:t xml:space="preserve">A meaningful approach to oversight cannot be developed and maintained by individuals or organisations working in isolation – it must be done collaboratively. </w:t>
      </w:r>
    </w:p>
    <w:p w14:paraId="635AEC52" w14:textId="64DD0B2F" w:rsidR="00F31A3A" w:rsidRPr="00570DF2" w:rsidRDefault="00F31A3A" w:rsidP="00AB2AC6">
      <w:pPr>
        <w:pStyle w:val="Heading2"/>
        <w:numPr>
          <w:ilvl w:val="0"/>
          <w:numId w:val="20"/>
        </w:numPr>
        <w:spacing w:after="0"/>
        <w:jc w:val="both"/>
        <w:rPr>
          <w:b/>
          <w:bCs/>
          <w:szCs w:val="22"/>
        </w:rPr>
      </w:pPr>
      <w:r w:rsidRPr="00570DF2">
        <w:rPr>
          <w:b/>
          <w:bCs/>
          <w:szCs w:val="22"/>
        </w:rPr>
        <w:t>Psychological safety allows learning to occur</w:t>
      </w:r>
      <w:r w:rsidR="00570DF2" w:rsidRPr="00570DF2">
        <w:rPr>
          <w:b/>
          <w:bCs/>
          <w:szCs w:val="22"/>
        </w:rPr>
        <w:t>.</w:t>
      </w:r>
      <w:r w:rsidRPr="00570DF2">
        <w:rPr>
          <w:b/>
          <w:bCs/>
          <w:szCs w:val="22"/>
        </w:rPr>
        <w:t xml:space="preserve"> </w:t>
      </w:r>
    </w:p>
    <w:p w14:paraId="735C0D4B" w14:textId="600CD644" w:rsidR="00F31A3A" w:rsidRDefault="00F31A3A" w:rsidP="00E61DD1">
      <w:pPr>
        <w:pStyle w:val="Heading2"/>
        <w:numPr>
          <w:ilvl w:val="0"/>
          <w:numId w:val="0"/>
        </w:numPr>
        <w:spacing w:after="0"/>
        <w:ind w:left="915"/>
        <w:jc w:val="both"/>
      </w:pPr>
      <w:r>
        <w:t>Oversight requires a climate of openness to encourage consideration of different perspectives, discussion around weaknesses and a willingness to suggest solutions.</w:t>
      </w:r>
    </w:p>
    <w:p w14:paraId="3E93D8C6" w14:textId="21EA434D" w:rsidR="00F31A3A" w:rsidRPr="00570DF2" w:rsidRDefault="00F31A3A" w:rsidP="00AB2AC6">
      <w:pPr>
        <w:pStyle w:val="Heading2"/>
        <w:numPr>
          <w:ilvl w:val="0"/>
          <w:numId w:val="20"/>
        </w:numPr>
        <w:spacing w:after="0"/>
        <w:jc w:val="both"/>
        <w:rPr>
          <w:b/>
          <w:bCs/>
          <w:szCs w:val="22"/>
        </w:rPr>
      </w:pPr>
      <w:r w:rsidRPr="00570DF2">
        <w:rPr>
          <w:b/>
          <w:bCs/>
          <w:szCs w:val="22"/>
        </w:rPr>
        <w:t>Curiosity is powerful</w:t>
      </w:r>
      <w:r w:rsidR="00570DF2">
        <w:rPr>
          <w:b/>
          <w:bCs/>
          <w:szCs w:val="22"/>
        </w:rPr>
        <w:t>.</w:t>
      </w:r>
      <w:r w:rsidRPr="00570DF2">
        <w:rPr>
          <w:b/>
          <w:bCs/>
          <w:szCs w:val="22"/>
        </w:rPr>
        <w:t xml:space="preserve"> </w:t>
      </w:r>
    </w:p>
    <w:p w14:paraId="12E95F1B" w14:textId="03DC3A56" w:rsidR="00F31A3A" w:rsidRDefault="00F31A3A" w:rsidP="00E61DD1">
      <w:pPr>
        <w:pStyle w:val="Heading2"/>
        <w:numPr>
          <w:ilvl w:val="0"/>
          <w:numId w:val="0"/>
        </w:numPr>
        <w:spacing w:after="0"/>
        <w:ind w:left="915"/>
        <w:jc w:val="both"/>
      </w:pPr>
      <w:r>
        <w:t>Leaders have a unique opportunity to do more than measure and monitor. They can and should use their position of power to influence improvement through curiosity. A valuable characteristic for oversight is asking questions to understand rather than to judge.</w:t>
      </w:r>
    </w:p>
    <w:p w14:paraId="5937CCE8" w14:textId="77777777" w:rsidR="0028454A" w:rsidRDefault="0028454A" w:rsidP="00E61DD1">
      <w:pPr>
        <w:pStyle w:val="Heading2"/>
        <w:numPr>
          <w:ilvl w:val="0"/>
          <w:numId w:val="0"/>
        </w:numPr>
        <w:spacing w:after="0"/>
        <w:ind w:left="915"/>
        <w:jc w:val="both"/>
      </w:pPr>
    </w:p>
    <w:p w14:paraId="69FFCD03" w14:textId="6D745BCC" w:rsidR="00547619" w:rsidRPr="00547619" w:rsidRDefault="00547619" w:rsidP="00AB2AC6">
      <w:pPr>
        <w:pStyle w:val="Heading2"/>
        <w:numPr>
          <w:ilvl w:val="1"/>
          <w:numId w:val="23"/>
        </w:numPr>
        <w:spacing w:after="0"/>
        <w:jc w:val="both"/>
        <w:rPr>
          <w:b/>
          <w:bCs/>
        </w:rPr>
      </w:pPr>
      <w:r w:rsidRPr="00547619">
        <w:rPr>
          <w:b/>
          <w:bCs/>
        </w:rPr>
        <w:t>Internal Oversight</w:t>
      </w:r>
    </w:p>
    <w:p w14:paraId="0890A7DC" w14:textId="77777777" w:rsidR="007605BA" w:rsidRDefault="007605BA" w:rsidP="00E61DD1">
      <w:pPr>
        <w:pStyle w:val="Heading2"/>
        <w:numPr>
          <w:ilvl w:val="0"/>
          <w:numId w:val="0"/>
        </w:numPr>
        <w:spacing w:after="0"/>
        <w:ind w:left="762"/>
        <w:jc w:val="both"/>
      </w:pPr>
    </w:p>
    <w:p w14:paraId="1DF23A32" w14:textId="5228F6CB" w:rsidR="00F31A3A" w:rsidRDefault="00F31A3A" w:rsidP="00E61DD1">
      <w:pPr>
        <w:pStyle w:val="Heading2"/>
        <w:numPr>
          <w:ilvl w:val="0"/>
          <w:numId w:val="0"/>
        </w:numPr>
        <w:spacing w:after="0"/>
        <w:ind w:left="762"/>
        <w:jc w:val="both"/>
      </w:pPr>
      <w:r w:rsidRPr="001B017E">
        <w:t xml:space="preserve">The Group Medical Director will serve as overall Oversight Lead for the organisation. </w:t>
      </w:r>
    </w:p>
    <w:p w14:paraId="7D836574" w14:textId="32B6A738" w:rsidR="001B017E" w:rsidRDefault="00572128" w:rsidP="00E61DD1">
      <w:pPr>
        <w:pStyle w:val="Heading2"/>
        <w:numPr>
          <w:ilvl w:val="0"/>
          <w:numId w:val="0"/>
        </w:numPr>
        <w:spacing w:after="0"/>
        <w:ind w:left="762"/>
        <w:jc w:val="both"/>
      </w:pPr>
      <w:r w:rsidRPr="001B017E">
        <w:rPr>
          <w:b/>
          <w:bCs/>
          <w:noProof/>
        </w:rPr>
        <w:drawing>
          <wp:anchor distT="0" distB="0" distL="114300" distR="114300" simplePos="0" relativeHeight="251658242" behindDoc="0" locked="0" layoutInCell="1" allowOverlap="1" wp14:anchorId="2E0B5731" wp14:editId="308FF168">
            <wp:simplePos x="0" y="0"/>
            <wp:positionH relativeFrom="margin">
              <wp:align>right</wp:align>
            </wp:positionH>
            <wp:positionV relativeFrom="paragraph">
              <wp:posOffset>641350</wp:posOffset>
            </wp:positionV>
            <wp:extent cx="6692900" cy="2905125"/>
            <wp:effectExtent l="0" t="0" r="0" b="9525"/>
            <wp:wrapSquare wrapText="bothSides"/>
            <wp:docPr id="721288128" name="Picture 721288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692900" cy="2905125"/>
                    </a:xfrm>
                    <a:prstGeom prst="rect">
                      <a:avLst/>
                    </a:prstGeom>
                    <a:noFill/>
                  </pic:spPr>
                </pic:pic>
              </a:graphicData>
            </a:graphic>
            <wp14:sizeRelH relativeFrom="page">
              <wp14:pctWidth>0</wp14:pctWidth>
            </wp14:sizeRelH>
            <wp14:sizeRelV relativeFrom="page">
              <wp14:pctHeight>0</wp14:pctHeight>
            </wp14:sizeRelV>
          </wp:anchor>
        </w:drawing>
      </w:r>
      <w:r w:rsidR="001B017E">
        <w:t xml:space="preserve">Spire Healthcare has developed a National Meeting and Assurance structure including a ‘Ward to Board Levels of Assurance’ model which will be used to monitor and provide assurance of improvements made in response to patient safety incidents at both hospital and group level.  </w:t>
      </w:r>
      <w:r w:rsidR="001B017E" w:rsidRPr="00280E43">
        <w:t>Please see CLIN 01</w:t>
      </w:r>
    </w:p>
    <w:p w14:paraId="6F7EAE91" w14:textId="0FD81E96" w:rsidR="001B017E" w:rsidRDefault="001B017E" w:rsidP="00E61DD1">
      <w:pPr>
        <w:pStyle w:val="Heading2"/>
        <w:numPr>
          <w:ilvl w:val="0"/>
          <w:numId w:val="0"/>
        </w:numPr>
        <w:spacing w:after="0"/>
        <w:ind w:left="762"/>
        <w:jc w:val="both"/>
        <w:rPr>
          <w:b/>
          <w:bCs/>
        </w:rPr>
      </w:pPr>
      <w:r w:rsidRPr="001B017E">
        <w:rPr>
          <w:b/>
          <w:bCs/>
        </w:rPr>
        <w:t>Spire Healthcare Ward to Board Assurance Model.</w:t>
      </w:r>
    </w:p>
    <w:p w14:paraId="39D1D27A" w14:textId="77777777" w:rsidR="000B4A67" w:rsidRDefault="000B4A67" w:rsidP="00E61DD1">
      <w:pPr>
        <w:pStyle w:val="Heading2"/>
        <w:numPr>
          <w:ilvl w:val="0"/>
          <w:numId w:val="0"/>
        </w:numPr>
        <w:spacing w:after="0"/>
        <w:ind w:left="762"/>
        <w:jc w:val="both"/>
        <w:rPr>
          <w:b/>
          <w:bCs/>
        </w:rPr>
      </w:pPr>
    </w:p>
    <w:p w14:paraId="40D14198" w14:textId="77777777" w:rsidR="00CE5EB3" w:rsidRDefault="00CE5EB3" w:rsidP="00E61DD1">
      <w:pPr>
        <w:pStyle w:val="Heading2"/>
        <w:numPr>
          <w:ilvl w:val="0"/>
          <w:numId w:val="0"/>
        </w:numPr>
        <w:spacing w:after="0"/>
        <w:ind w:left="762"/>
        <w:jc w:val="both"/>
        <w:rPr>
          <w:b/>
          <w:bCs/>
        </w:rPr>
      </w:pPr>
    </w:p>
    <w:p w14:paraId="4DC63709" w14:textId="77777777" w:rsidR="00CE5EB3" w:rsidRDefault="00CE5EB3" w:rsidP="00E61DD1">
      <w:pPr>
        <w:pStyle w:val="Heading2"/>
        <w:numPr>
          <w:ilvl w:val="0"/>
          <w:numId w:val="0"/>
        </w:numPr>
        <w:spacing w:after="0"/>
        <w:ind w:left="762"/>
        <w:jc w:val="both"/>
        <w:rPr>
          <w:b/>
          <w:bCs/>
        </w:rPr>
      </w:pPr>
    </w:p>
    <w:p w14:paraId="7BB15236" w14:textId="77777777" w:rsidR="00CE5EB3" w:rsidRDefault="00CE5EB3" w:rsidP="00E61DD1">
      <w:pPr>
        <w:pStyle w:val="Heading2"/>
        <w:numPr>
          <w:ilvl w:val="0"/>
          <w:numId w:val="0"/>
        </w:numPr>
        <w:spacing w:after="0"/>
        <w:ind w:left="762"/>
        <w:jc w:val="both"/>
        <w:rPr>
          <w:b/>
          <w:bCs/>
        </w:rPr>
      </w:pPr>
    </w:p>
    <w:p w14:paraId="47007E1C" w14:textId="77777777" w:rsidR="00CE5EB3" w:rsidRDefault="00CE5EB3" w:rsidP="00E61DD1">
      <w:pPr>
        <w:pStyle w:val="Heading2"/>
        <w:numPr>
          <w:ilvl w:val="0"/>
          <w:numId w:val="0"/>
        </w:numPr>
        <w:spacing w:after="0"/>
        <w:ind w:left="762"/>
        <w:jc w:val="both"/>
        <w:rPr>
          <w:b/>
          <w:bCs/>
        </w:rPr>
      </w:pPr>
    </w:p>
    <w:p w14:paraId="529CFD49" w14:textId="196D7917" w:rsidR="001B017E" w:rsidRPr="001B017E" w:rsidRDefault="001B017E" w:rsidP="00AB2AC6">
      <w:pPr>
        <w:pStyle w:val="Heading2"/>
        <w:numPr>
          <w:ilvl w:val="1"/>
          <w:numId w:val="23"/>
        </w:numPr>
        <w:spacing w:after="0"/>
        <w:jc w:val="both"/>
        <w:rPr>
          <w:b/>
          <w:bCs/>
        </w:rPr>
      </w:pPr>
      <w:r w:rsidRPr="001B017E">
        <w:rPr>
          <w:b/>
          <w:bCs/>
        </w:rPr>
        <w:t xml:space="preserve">External Oversight </w:t>
      </w:r>
    </w:p>
    <w:p w14:paraId="60C24F6A" w14:textId="77777777" w:rsidR="007605BA" w:rsidRDefault="007605BA" w:rsidP="00E61DD1">
      <w:pPr>
        <w:pStyle w:val="Heading2"/>
        <w:numPr>
          <w:ilvl w:val="0"/>
          <w:numId w:val="0"/>
        </w:numPr>
        <w:spacing w:after="0"/>
        <w:ind w:left="762"/>
        <w:jc w:val="both"/>
      </w:pPr>
    </w:p>
    <w:p w14:paraId="2E3FB452" w14:textId="30845BCB" w:rsidR="001B017E" w:rsidRDefault="001B017E" w:rsidP="00E61DD1">
      <w:pPr>
        <w:pStyle w:val="Heading2"/>
        <w:numPr>
          <w:ilvl w:val="0"/>
          <w:numId w:val="0"/>
        </w:numPr>
        <w:spacing w:after="0"/>
        <w:ind w:left="762"/>
        <w:jc w:val="both"/>
      </w:pPr>
      <w:r>
        <w:t>The</w:t>
      </w:r>
      <w:r w:rsidR="009F2BBD">
        <w:t xml:space="preserve"> Hertfordshire and West Essex </w:t>
      </w:r>
      <w:r>
        <w:t>Integrated Care Board (ICB) an NHS organisation involved in the purchasing of healthcare from the Independent Sector and NHS Trusts for a local population, in agreement with NHS England, has provided support (and will continue to do so) with the</w:t>
      </w:r>
      <w:r w:rsidR="00097D03">
        <w:t xml:space="preserve"> Spire Healthcare</w:t>
      </w:r>
      <w:r>
        <w:t xml:space="preserve"> PSIR</w:t>
      </w:r>
      <w:r w:rsidR="009F2BBD">
        <w:t>F</w:t>
      </w:r>
      <w:r>
        <w:t xml:space="preserve"> Plan.</w:t>
      </w:r>
    </w:p>
    <w:p w14:paraId="29C907A3" w14:textId="77777777" w:rsidR="0041627E" w:rsidRDefault="0041627E" w:rsidP="00E61DD1">
      <w:pPr>
        <w:pStyle w:val="Heading2"/>
        <w:numPr>
          <w:ilvl w:val="0"/>
          <w:numId w:val="0"/>
        </w:numPr>
        <w:spacing w:after="0"/>
        <w:ind w:left="762"/>
        <w:jc w:val="both"/>
      </w:pPr>
    </w:p>
    <w:p w14:paraId="7F8C72C1" w14:textId="4E32AC25" w:rsidR="001B017E" w:rsidRDefault="001B017E" w:rsidP="00E61DD1">
      <w:pPr>
        <w:pStyle w:val="Heading2"/>
        <w:numPr>
          <w:ilvl w:val="0"/>
          <w:numId w:val="0"/>
        </w:numPr>
        <w:spacing w:after="0"/>
        <w:ind w:left="762"/>
        <w:jc w:val="both"/>
      </w:pPr>
      <w:r>
        <w:t xml:space="preserve">For Hospital sites, the Directors of Clinical Services and </w:t>
      </w:r>
      <w:r w:rsidR="00097D03">
        <w:t xml:space="preserve">Hospital </w:t>
      </w:r>
      <w:r>
        <w:t xml:space="preserve">Directors, will </w:t>
      </w:r>
      <w:r w:rsidR="00B838EA">
        <w:t xml:space="preserve">ensure that they have </w:t>
      </w:r>
      <w:r w:rsidR="001A14A1">
        <w:t>a relationship</w:t>
      </w:r>
      <w:r>
        <w:t xml:space="preserve"> with their local ICB equivalents </w:t>
      </w:r>
      <w:r w:rsidR="00B838EA">
        <w:t>so that they</w:t>
      </w:r>
      <w:r>
        <w:t xml:space="preserve"> participate in sharing of learning across the wider healthcare network as specified within PSIRF. This </w:t>
      </w:r>
      <w:r w:rsidR="00B838EA">
        <w:t xml:space="preserve">policy </w:t>
      </w:r>
      <w:r>
        <w:t xml:space="preserve">will be updated as this </w:t>
      </w:r>
      <w:r w:rsidR="00403260">
        <w:t>process becomes</w:t>
      </w:r>
      <w:r>
        <w:t xml:space="preserve"> clearer during </w:t>
      </w:r>
      <w:r w:rsidR="00403260">
        <w:t xml:space="preserve">the </w:t>
      </w:r>
      <w:r>
        <w:t>transition.</w:t>
      </w:r>
    </w:p>
    <w:p w14:paraId="0E8D9739" w14:textId="77777777" w:rsidR="0041627E" w:rsidRDefault="0041627E" w:rsidP="00E61DD1">
      <w:pPr>
        <w:pStyle w:val="Heading2"/>
        <w:numPr>
          <w:ilvl w:val="0"/>
          <w:numId w:val="0"/>
        </w:numPr>
        <w:spacing w:after="0"/>
        <w:ind w:left="762"/>
        <w:jc w:val="both"/>
      </w:pPr>
    </w:p>
    <w:p w14:paraId="2D6B5416" w14:textId="3DAF4024" w:rsidR="00547619" w:rsidRDefault="001B017E" w:rsidP="00E61DD1">
      <w:pPr>
        <w:pStyle w:val="Heading2"/>
        <w:numPr>
          <w:ilvl w:val="0"/>
          <w:numId w:val="0"/>
        </w:numPr>
        <w:spacing w:after="0"/>
        <w:ind w:left="762"/>
        <w:jc w:val="both"/>
      </w:pPr>
      <w:r>
        <w:t xml:space="preserve">NHSE have indicated that they are working with the Care Quality Commission (the government body who regulates, </w:t>
      </w:r>
      <w:r w:rsidR="004B3C05">
        <w:t>monitors,</w:t>
      </w:r>
      <w:r>
        <w:t xml:space="preserve"> and inspects healthcare in England) to provide guidance to healthcare providers on how their inspections will change with the implementation of PSIRF. Again, this </w:t>
      </w:r>
      <w:r w:rsidR="00B838EA">
        <w:t>policy</w:t>
      </w:r>
      <w:r>
        <w:t xml:space="preserve"> will be updated once that guidance has been received.</w:t>
      </w:r>
    </w:p>
    <w:p w14:paraId="6EBB5C12" w14:textId="77777777" w:rsidR="0041627E" w:rsidRDefault="0041627E" w:rsidP="00E61DD1">
      <w:pPr>
        <w:pStyle w:val="Heading2"/>
        <w:numPr>
          <w:ilvl w:val="0"/>
          <w:numId w:val="0"/>
        </w:numPr>
        <w:spacing w:after="0"/>
        <w:ind w:left="762"/>
        <w:jc w:val="both"/>
      </w:pPr>
    </w:p>
    <w:p w14:paraId="4DBD19AF" w14:textId="7E90679B" w:rsidR="00312B98" w:rsidRDefault="00312B98" w:rsidP="00E61DD1">
      <w:pPr>
        <w:pStyle w:val="Heading2"/>
        <w:numPr>
          <w:ilvl w:val="0"/>
          <w:numId w:val="0"/>
        </w:numPr>
        <w:spacing w:after="0"/>
        <w:ind w:left="762"/>
        <w:jc w:val="both"/>
      </w:pPr>
      <w:r>
        <w:t xml:space="preserve">Our PSIRF plan and policy has been designed to ensure that we fulfil our requirements to </w:t>
      </w:r>
      <w:r w:rsidR="004E72AC">
        <w:t>Health Inspectorate Wales (</w:t>
      </w:r>
      <w:r>
        <w:t>HIW</w:t>
      </w:r>
      <w:r w:rsidR="004E72AC">
        <w:t>)</w:t>
      </w:r>
      <w:r>
        <w:t xml:space="preserve"> and</w:t>
      </w:r>
      <w:r w:rsidR="004E72AC">
        <w:t xml:space="preserve"> Health Improvement Scotland (</w:t>
      </w:r>
      <w:r>
        <w:t>HIS</w:t>
      </w:r>
      <w:r w:rsidR="004E72AC">
        <w:t>)</w:t>
      </w:r>
      <w:r>
        <w:t>. The organisation has participated in meetings with</w:t>
      </w:r>
      <w:r w:rsidR="004E72AC">
        <w:t xml:space="preserve"> IHPN and</w:t>
      </w:r>
      <w:r>
        <w:t xml:space="preserve"> both regulators </w:t>
      </w:r>
      <w:r w:rsidR="004E72AC">
        <w:t xml:space="preserve">and governments </w:t>
      </w:r>
      <w:r>
        <w:t xml:space="preserve">who have been supportive with our PSIRF arrangements. </w:t>
      </w:r>
    </w:p>
    <w:p w14:paraId="2B8F70B6" w14:textId="77777777" w:rsidR="001923F1" w:rsidRPr="00BF0914" w:rsidRDefault="001923F1" w:rsidP="00E61DD1">
      <w:pPr>
        <w:pStyle w:val="BodyText"/>
        <w:spacing w:before="7"/>
        <w:ind w:left="0"/>
        <w:jc w:val="both"/>
        <w:rPr>
          <w:rFonts w:asciiTheme="majorHAnsi" w:hAnsiTheme="majorHAnsi" w:cstheme="majorHAnsi"/>
          <w:sz w:val="22"/>
          <w:szCs w:val="22"/>
        </w:rPr>
      </w:pPr>
    </w:p>
    <w:p w14:paraId="070D9847" w14:textId="33C09C33" w:rsidR="00F31A3A" w:rsidRDefault="004B3C05" w:rsidP="004B3C05">
      <w:pPr>
        <w:pStyle w:val="Heading1"/>
        <w:rPr>
          <w:caps w:val="0"/>
          <w:color w:val="008385"/>
        </w:rPr>
      </w:pPr>
      <w:bookmarkStart w:id="53" w:name="_Toc159429868"/>
      <w:r w:rsidRPr="004B3C05">
        <w:rPr>
          <w:caps w:val="0"/>
          <w:color w:val="008385"/>
        </w:rPr>
        <w:t>COMPLAINTS AND APPEALS</w:t>
      </w:r>
      <w:bookmarkEnd w:id="53"/>
    </w:p>
    <w:p w14:paraId="1E46C6EE" w14:textId="77777777" w:rsidR="00F31A3A" w:rsidRDefault="00F31A3A" w:rsidP="00E61DD1">
      <w:pPr>
        <w:pStyle w:val="Heading1"/>
        <w:numPr>
          <w:ilvl w:val="0"/>
          <w:numId w:val="0"/>
        </w:numPr>
        <w:ind w:left="762"/>
      </w:pPr>
    </w:p>
    <w:p w14:paraId="7C07FD32" w14:textId="67FD583F" w:rsidR="001833E8" w:rsidRDefault="001833E8" w:rsidP="00AB2AC6">
      <w:pPr>
        <w:pStyle w:val="Heading2"/>
        <w:numPr>
          <w:ilvl w:val="1"/>
          <w:numId w:val="32"/>
        </w:numPr>
      </w:pPr>
      <w:r>
        <w:t xml:space="preserve">Spire Healthcare’s Complaints Management Policy </w:t>
      </w:r>
      <w:r w:rsidRPr="00280E43">
        <w:t>(HOP02) is</w:t>
      </w:r>
      <w:r>
        <w:t xml:space="preserve"> separate from PSIRF</w:t>
      </w:r>
      <w:r w:rsidR="00C04E21">
        <w:t xml:space="preserve"> and outlines the </w:t>
      </w:r>
      <w:r w:rsidR="00843070">
        <w:t xml:space="preserve">process for both private patients overseen by the Independent Sector Complaints Adjudications Service (ISCAS) </w:t>
      </w:r>
      <w:r w:rsidR="006A6ECA">
        <w:t>and NHS patients overseen by the Parliamentary and Health Service Ombudsman</w:t>
      </w:r>
      <w:r>
        <w:t xml:space="preserve">. It is hoped that patients and their families will not feel the need to complain about how a patient safety incident, in which they were involved, is managed because </w:t>
      </w:r>
      <w:r w:rsidR="00E05AC5">
        <w:t xml:space="preserve">colleagues </w:t>
      </w:r>
      <w:r>
        <w:t xml:space="preserve">at the site will have offered them the opportunity to be involved in the learning response. However, </w:t>
      </w:r>
      <w:r w:rsidR="00E05AC5">
        <w:t xml:space="preserve">colleagues </w:t>
      </w:r>
      <w:r>
        <w:t xml:space="preserve">must still provide patients with a copy of the </w:t>
      </w:r>
      <w:r w:rsidRPr="001B0F5F">
        <w:t>‘Your Opinion Matters’</w:t>
      </w:r>
      <w:r>
        <w:t xml:space="preserve"> Leaflet which details the way patients can provide feedback to </w:t>
      </w:r>
      <w:r w:rsidR="005F6AFE">
        <w:t>Spire Healthcare</w:t>
      </w:r>
      <w:r>
        <w:t xml:space="preserve"> and how they can expect any concerns or complain</w:t>
      </w:r>
      <w:r w:rsidR="003430A0">
        <w:t>t</w:t>
      </w:r>
      <w:r>
        <w:t xml:space="preserve">s to be managed. </w:t>
      </w:r>
    </w:p>
    <w:p w14:paraId="0D84CC11" w14:textId="17C3C415" w:rsidR="00F6530B" w:rsidRDefault="005D59F0" w:rsidP="00DC6124">
      <w:pPr>
        <w:pStyle w:val="Heading2"/>
        <w:numPr>
          <w:ilvl w:val="0"/>
          <w:numId w:val="0"/>
        </w:numPr>
        <w:spacing w:after="0"/>
        <w:ind w:left="762"/>
        <w:jc w:val="both"/>
      </w:pPr>
      <w:r>
        <w:t xml:space="preserve">The </w:t>
      </w:r>
      <w:r w:rsidRPr="005D59F0">
        <w:t xml:space="preserve">leaflet details the four-stage process for England, </w:t>
      </w:r>
      <w:r w:rsidR="004B3C05" w:rsidRPr="005D59F0">
        <w:t>Scotland,</w:t>
      </w:r>
      <w:r w:rsidRPr="005D59F0">
        <w:t xml:space="preserve"> and Wales, which includes how patients/their families can appeal which include</w:t>
      </w:r>
      <w:r w:rsidR="00DC6124">
        <w:t>s</w:t>
      </w:r>
      <w:r w:rsidRPr="005D59F0">
        <w:t xml:space="preserve"> locally (at the hospital the incident occurred), organisationally (Spire Healthcare Central Customer relations Manager) or externally (by an Independent Adjudicator).</w:t>
      </w:r>
      <w:r w:rsidRPr="005D59F0">
        <w:cr/>
      </w:r>
    </w:p>
    <w:p w14:paraId="0AE9F1D4" w14:textId="7F842D9D" w:rsidR="001833E8" w:rsidRPr="004B3C05" w:rsidRDefault="004B3C05" w:rsidP="00AB2AC6">
      <w:pPr>
        <w:pStyle w:val="Heading1"/>
        <w:rPr>
          <w:caps w:val="0"/>
          <w:color w:val="008385"/>
        </w:rPr>
      </w:pPr>
      <w:bookmarkStart w:id="54" w:name="_Toc159429869"/>
      <w:r w:rsidRPr="004B3C05">
        <w:rPr>
          <w:caps w:val="0"/>
          <w:color w:val="008385"/>
        </w:rPr>
        <w:t>REFERENCES</w:t>
      </w:r>
      <w:bookmarkEnd w:id="54"/>
    </w:p>
    <w:p w14:paraId="66F7A798" w14:textId="01CCDED8" w:rsidR="001C12D2" w:rsidRDefault="001C12D2" w:rsidP="001C12D2">
      <w:pPr>
        <w:pStyle w:val="Heading2"/>
        <w:numPr>
          <w:ilvl w:val="0"/>
          <w:numId w:val="0"/>
        </w:numPr>
        <w:spacing w:after="0"/>
        <w:ind w:left="762"/>
        <w:jc w:val="both"/>
      </w:pPr>
      <w:r w:rsidRPr="001C12D2">
        <w:t>Learn from patient safety events (LFPSE) service</w:t>
      </w:r>
      <w:r>
        <w:t>.  Available at</w:t>
      </w:r>
      <w:r w:rsidR="008A40A3">
        <w:t>:</w:t>
      </w:r>
      <w:r>
        <w:t xml:space="preserve"> </w:t>
      </w:r>
      <w:hyperlink r:id="rId35" w:history="1">
        <w:r>
          <w:rPr>
            <w:rStyle w:val="Hyperlink"/>
          </w:rPr>
          <w:t>NHS England » Learn from patient safety events (LFPSE) service</w:t>
        </w:r>
      </w:hyperlink>
      <w:r w:rsidR="008A40A3">
        <w:t xml:space="preserve"> [accessed 14.3.2024]</w:t>
      </w:r>
    </w:p>
    <w:p w14:paraId="56442425" w14:textId="2428E1A6" w:rsidR="001833E8" w:rsidRDefault="001833E8" w:rsidP="00E61DD1">
      <w:pPr>
        <w:pStyle w:val="Heading2"/>
        <w:numPr>
          <w:ilvl w:val="0"/>
          <w:numId w:val="0"/>
        </w:numPr>
        <w:spacing w:after="0"/>
        <w:ind w:left="762"/>
        <w:jc w:val="both"/>
      </w:pPr>
      <w:r>
        <w:t xml:space="preserve">NHSE Patient Safety Incident Response Framework (2022). Available at: </w:t>
      </w:r>
      <w:hyperlink r:id="rId36" w:history="1">
        <w:r w:rsidRPr="001833E8">
          <w:rPr>
            <w:rStyle w:val="Hyperlink"/>
          </w:rPr>
          <w:t>NHSE PSIRF 2022</w:t>
        </w:r>
      </w:hyperlink>
      <w:r>
        <w:t xml:space="preserve"> </w:t>
      </w:r>
    </w:p>
    <w:p w14:paraId="13793F33" w14:textId="4B9A9EE8" w:rsidR="001833E8" w:rsidRDefault="001833E8" w:rsidP="00E61DD1">
      <w:pPr>
        <w:pStyle w:val="Heading2"/>
        <w:numPr>
          <w:ilvl w:val="0"/>
          <w:numId w:val="0"/>
        </w:numPr>
        <w:spacing w:after="0"/>
        <w:ind w:left="762"/>
        <w:jc w:val="both"/>
      </w:pPr>
      <w:r>
        <w:t xml:space="preserve">NHSE and the Healthcare safety </w:t>
      </w:r>
      <w:r w:rsidR="00A060DD">
        <w:t xml:space="preserve">Investigation </w:t>
      </w:r>
      <w:r>
        <w:t xml:space="preserve">Branch (2022) Engaging and involving patients, families and </w:t>
      </w:r>
      <w:r w:rsidR="00D47EC0">
        <w:t>staff f</w:t>
      </w:r>
      <w:r>
        <w:t xml:space="preserve">ollowing a patient safety incident. Available at: NHSE </w:t>
      </w:r>
      <w:hyperlink r:id="rId37" w:history="1">
        <w:r w:rsidRPr="001833E8">
          <w:rPr>
            <w:rStyle w:val="Hyperlink"/>
          </w:rPr>
          <w:t xml:space="preserve">HSIB 2022 Engaging and involving patients, families and </w:t>
        </w:r>
        <w:r w:rsidR="00D47EC0">
          <w:rPr>
            <w:rStyle w:val="Hyperlink"/>
          </w:rPr>
          <w:t>staff</w:t>
        </w:r>
        <w:r w:rsidRPr="001833E8">
          <w:rPr>
            <w:rStyle w:val="Hyperlink"/>
          </w:rPr>
          <w:t xml:space="preserve"> following a PSI</w:t>
        </w:r>
      </w:hyperlink>
    </w:p>
    <w:p w14:paraId="529F293B" w14:textId="331F714B" w:rsidR="001833E8" w:rsidRDefault="001833E8" w:rsidP="00E61DD1">
      <w:pPr>
        <w:pStyle w:val="Heading2"/>
        <w:numPr>
          <w:ilvl w:val="0"/>
          <w:numId w:val="0"/>
        </w:numPr>
        <w:spacing w:after="0"/>
        <w:ind w:left="762"/>
        <w:jc w:val="both"/>
      </w:pPr>
      <w:r>
        <w:t xml:space="preserve">NHSE (2022) Guide to responding proportionately to patient safety incidents. Available at: </w:t>
      </w:r>
      <w:hyperlink r:id="rId38" w:history="1">
        <w:r w:rsidRPr="001833E8">
          <w:rPr>
            <w:rStyle w:val="Hyperlink"/>
          </w:rPr>
          <w:t>NHSE Guide to responding proportionately to PSIs 2022</w:t>
        </w:r>
      </w:hyperlink>
    </w:p>
    <w:p w14:paraId="1E63449B" w14:textId="7D9E805F" w:rsidR="001833E8" w:rsidRDefault="001833E8" w:rsidP="00E61DD1">
      <w:pPr>
        <w:pStyle w:val="Heading2"/>
        <w:numPr>
          <w:ilvl w:val="0"/>
          <w:numId w:val="0"/>
        </w:numPr>
        <w:spacing w:after="0"/>
        <w:ind w:left="762"/>
        <w:jc w:val="both"/>
      </w:pPr>
      <w:r>
        <w:t xml:space="preserve">NHSE (2022) patient safety Incident Response Standards. Available at: </w:t>
      </w:r>
      <w:hyperlink r:id="rId39" w:history="1">
        <w:r w:rsidRPr="001833E8">
          <w:rPr>
            <w:rStyle w:val="Hyperlink"/>
          </w:rPr>
          <w:t>NHSE PSIRF Standards 2022</w:t>
        </w:r>
      </w:hyperlink>
      <w:r>
        <w:t xml:space="preserve"> </w:t>
      </w:r>
    </w:p>
    <w:p w14:paraId="3FE3EE9F" w14:textId="77777777" w:rsidR="000315D8" w:rsidRDefault="001833E8" w:rsidP="00E61DD1">
      <w:pPr>
        <w:pStyle w:val="Heading2"/>
        <w:numPr>
          <w:ilvl w:val="0"/>
          <w:numId w:val="0"/>
        </w:numPr>
        <w:spacing w:after="0"/>
        <w:ind w:left="762"/>
        <w:jc w:val="both"/>
        <w:rPr>
          <w:rStyle w:val="Hyperlink"/>
        </w:rPr>
      </w:pPr>
      <w:r>
        <w:t xml:space="preserve">Oversight roles and responsibilities specification (2022). Available at: </w:t>
      </w:r>
      <w:hyperlink r:id="rId40" w:history="1">
        <w:r w:rsidRPr="001833E8">
          <w:rPr>
            <w:rStyle w:val="Hyperlink"/>
          </w:rPr>
          <w:t>NHSE Oversight roles and responsibilities 2022</w:t>
        </w:r>
      </w:hyperlink>
    </w:p>
    <w:p w14:paraId="4A9D0DF1" w14:textId="700B510C" w:rsidR="00260C37" w:rsidRDefault="00260C37" w:rsidP="00260C37">
      <w:pPr>
        <w:pStyle w:val="Heading2"/>
        <w:numPr>
          <w:ilvl w:val="0"/>
          <w:numId w:val="0"/>
        </w:numPr>
        <w:spacing w:after="0"/>
        <w:ind w:left="762"/>
        <w:jc w:val="both"/>
        <w:rPr>
          <w:rStyle w:val="Hyperlink"/>
        </w:rPr>
      </w:pPr>
      <w:r>
        <w:t xml:space="preserve">Psychological Safety.  Available at:  </w:t>
      </w:r>
      <w:hyperlink r:id="rId41" w:history="1">
        <w:r>
          <w:rPr>
            <w:rStyle w:val="Hyperlink"/>
          </w:rPr>
          <w:t>Psychological Safety – Workplace Training, Workshops and Consultancy on Psychological Safety, Just Culture, Resilience and High Performing Teams (psychsafety.co.uk)</w:t>
        </w:r>
      </w:hyperlink>
      <w:r>
        <w:t xml:space="preserve"> [accessed 21.2.2024]</w:t>
      </w:r>
    </w:p>
    <w:p w14:paraId="19621DA3" w14:textId="2D112305" w:rsidR="00671985" w:rsidRDefault="00FB62E8" w:rsidP="00E61DD1">
      <w:pPr>
        <w:pStyle w:val="Heading2"/>
        <w:numPr>
          <w:ilvl w:val="0"/>
          <w:numId w:val="0"/>
        </w:numPr>
        <w:spacing w:after="0"/>
        <w:ind w:left="762"/>
        <w:jc w:val="both"/>
        <w:rPr>
          <w:rStyle w:val="Hyperlink"/>
        </w:rPr>
      </w:pPr>
      <w:r w:rsidRPr="00FB62E8">
        <w:t>RCP Using the structured judgement review method.  Available at</w:t>
      </w:r>
      <w:r>
        <w:t>:</w:t>
      </w:r>
      <w:r>
        <w:rPr>
          <w:rStyle w:val="Hyperlink"/>
        </w:rPr>
        <w:t xml:space="preserve"> </w:t>
      </w:r>
      <w:hyperlink r:id="rId42" w:history="1">
        <w:r w:rsidR="00F40E74" w:rsidRPr="009A558F">
          <w:rPr>
            <w:rStyle w:val="Hyperlink"/>
          </w:rPr>
          <w:t>https://www.rcplondon.ac.uk/sites/default/files/media/Documents/NMCRR%20guide%20England_0.pdf</w:t>
        </w:r>
      </w:hyperlink>
    </w:p>
    <w:p w14:paraId="297D1E12" w14:textId="77777777" w:rsidR="0041627E" w:rsidRDefault="0041627E" w:rsidP="00E61DD1">
      <w:pPr>
        <w:pStyle w:val="Heading2"/>
        <w:numPr>
          <w:ilvl w:val="0"/>
          <w:numId w:val="0"/>
        </w:numPr>
        <w:spacing w:after="0"/>
        <w:ind w:left="762"/>
        <w:jc w:val="both"/>
        <w:rPr>
          <w:color w:val="0563C1" w:themeColor="hyperlink"/>
          <w:u w:val="single"/>
        </w:rPr>
      </w:pPr>
    </w:p>
    <w:p w14:paraId="17AEA069" w14:textId="77777777" w:rsidR="00CE5EB3" w:rsidRPr="00FB62E8" w:rsidRDefault="00CE5EB3" w:rsidP="00E61DD1">
      <w:pPr>
        <w:pStyle w:val="Heading2"/>
        <w:numPr>
          <w:ilvl w:val="0"/>
          <w:numId w:val="0"/>
        </w:numPr>
        <w:spacing w:after="0"/>
        <w:ind w:left="762"/>
        <w:jc w:val="both"/>
        <w:rPr>
          <w:color w:val="0563C1" w:themeColor="hyperlink"/>
          <w:u w:val="single"/>
        </w:rPr>
      </w:pPr>
    </w:p>
    <w:p w14:paraId="1AFFBF54" w14:textId="4C943ADA" w:rsidR="001923F1" w:rsidRPr="004B3C05" w:rsidRDefault="001923F1" w:rsidP="00AB2AC6">
      <w:pPr>
        <w:pStyle w:val="Heading1"/>
        <w:rPr>
          <w:caps w:val="0"/>
          <w:color w:val="008385"/>
        </w:rPr>
      </w:pPr>
      <w:bookmarkStart w:id="55" w:name="_Toc159429870"/>
      <w:r w:rsidRPr="004B3C05">
        <w:rPr>
          <w:caps w:val="0"/>
          <w:color w:val="008385"/>
        </w:rPr>
        <w:t>ASSOCIATED POLICIES</w:t>
      </w:r>
      <w:bookmarkEnd w:id="55"/>
    </w:p>
    <w:p w14:paraId="7D0BA3A8" w14:textId="77777777" w:rsidR="00466F52" w:rsidRPr="00BF0914" w:rsidRDefault="00466F52" w:rsidP="00E61DD1">
      <w:pPr>
        <w:pStyle w:val="Heading1"/>
        <w:numPr>
          <w:ilvl w:val="0"/>
          <w:numId w:val="0"/>
        </w:numPr>
        <w:ind w:left="762" w:hanging="567"/>
      </w:pPr>
    </w:p>
    <w:tbl>
      <w:tblPr>
        <w:tblW w:w="0" w:type="auto"/>
        <w:tblInd w:w="567" w:type="dxa"/>
        <w:tblLayout w:type="fixed"/>
        <w:tblCellMar>
          <w:left w:w="0" w:type="dxa"/>
          <w:right w:w="0" w:type="dxa"/>
        </w:tblCellMar>
        <w:tblLook w:val="01E0" w:firstRow="1" w:lastRow="1" w:firstColumn="1" w:lastColumn="1" w:noHBand="0" w:noVBand="0"/>
      </w:tblPr>
      <w:tblGrid>
        <w:gridCol w:w="2010"/>
        <w:gridCol w:w="7488"/>
      </w:tblGrid>
      <w:tr w:rsidR="001923F1" w:rsidRPr="00BF0914" w14:paraId="3BAC49F6" w14:textId="77777777" w:rsidTr="000876B8">
        <w:trPr>
          <w:trHeight w:val="364"/>
        </w:trPr>
        <w:tc>
          <w:tcPr>
            <w:tcW w:w="2010" w:type="dxa"/>
          </w:tcPr>
          <w:p w14:paraId="17F5E8B0" w14:textId="0F937A97" w:rsidR="001923F1" w:rsidRPr="00BF0914" w:rsidRDefault="001923F1" w:rsidP="003407A8">
            <w:pPr>
              <w:pStyle w:val="TableParagraph"/>
              <w:jc w:val="both"/>
              <w:rPr>
                <w:rFonts w:asciiTheme="majorHAnsi" w:hAnsiTheme="majorHAnsi" w:cstheme="majorHAnsi"/>
              </w:rPr>
            </w:pPr>
            <w:r w:rsidRPr="00BF0914">
              <w:rPr>
                <w:rFonts w:asciiTheme="majorHAnsi" w:hAnsiTheme="majorHAnsi" w:cstheme="majorHAnsi"/>
              </w:rPr>
              <w:t>C</w:t>
            </w:r>
            <w:r w:rsidR="003D7A87">
              <w:rPr>
                <w:rFonts w:asciiTheme="majorHAnsi" w:hAnsiTheme="majorHAnsi" w:cstheme="majorHAnsi"/>
              </w:rPr>
              <w:t>LINI 01</w:t>
            </w:r>
          </w:p>
        </w:tc>
        <w:tc>
          <w:tcPr>
            <w:tcW w:w="7488" w:type="dxa"/>
          </w:tcPr>
          <w:p w14:paraId="4FEC6A06" w14:textId="087D5064" w:rsidR="001923F1" w:rsidRPr="00BF0914" w:rsidRDefault="003528C8" w:rsidP="003407A8">
            <w:pPr>
              <w:pStyle w:val="TableParagraph"/>
              <w:ind w:left="357"/>
              <w:jc w:val="both"/>
              <w:rPr>
                <w:rFonts w:asciiTheme="majorHAnsi" w:hAnsiTheme="majorHAnsi" w:cstheme="majorHAnsi"/>
              </w:rPr>
            </w:pPr>
            <w:r>
              <w:rPr>
                <w:rFonts w:asciiTheme="majorHAnsi" w:hAnsiTheme="majorHAnsi" w:cstheme="majorHAnsi"/>
              </w:rPr>
              <w:t>Spire Healthcare</w:t>
            </w:r>
            <w:r w:rsidR="001923F1" w:rsidRPr="00BF0914">
              <w:rPr>
                <w:rFonts w:asciiTheme="majorHAnsi" w:hAnsiTheme="majorHAnsi" w:cstheme="majorHAnsi"/>
                <w:spacing w:val="-5"/>
              </w:rPr>
              <w:t xml:space="preserve"> </w:t>
            </w:r>
            <w:r w:rsidR="001923F1" w:rsidRPr="00BF0914">
              <w:rPr>
                <w:rFonts w:asciiTheme="majorHAnsi" w:hAnsiTheme="majorHAnsi" w:cstheme="majorHAnsi"/>
              </w:rPr>
              <w:t>Standards</w:t>
            </w:r>
            <w:r w:rsidR="001923F1" w:rsidRPr="00BF0914">
              <w:rPr>
                <w:rFonts w:asciiTheme="majorHAnsi" w:hAnsiTheme="majorHAnsi" w:cstheme="majorHAnsi"/>
                <w:spacing w:val="-3"/>
              </w:rPr>
              <w:t xml:space="preserve"> </w:t>
            </w:r>
            <w:r w:rsidR="001923F1" w:rsidRPr="00BF0914">
              <w:rPr>
                <w:rFonts w:asciiTheme="majorHAnsi" w:hAnsiTheme="majorHAnsi" w:cstheme="majorHAnsi"/>
              </w:rPr>
              <w:t>for</w:t>
            </w:r>
            <w:r w:rsidR="001923F1" w:rsidRPr="00BF0914">
              <w:rPr>
                <w:rFonts w:asciiTheme="majorHAnsi" w:hAnsiTheme="majorHAnsi" w:cstheme="majorHAnsi"/>
                <w:spacing w:val="1"/>
              </w:rPr>
              <w:t xml:space="preserve"> </w:t>
            </w:r>
            <w:r w:rsidR="001923F1" w:rsidRPr="00BF0914">
              <w:rPr>
                <w:rFonts w:asciiTheme="majorHAnsi" w:hAnsiTheme="majorHAnsi" w:cstheme="majorHAnsi"/>
              </w:rPr>
              <w:t>Hospital</w:t>
            </w:r>
            <w:r w:rsidR="001923F1" w:rsidRPr="00BF0914">
              <w:rPr>
                <w:rFonts w:asciiTheme="majorHAnsi" w:hAnsiTheme="majorHAnsi" w:cstheme="majorHAnsi"/>
                <w:spacing w:val="-4"/>
              </w:rPr>
              <w:t xml:space="preserve"> </w:t>
            </w:r>
            <w:r w:rsidR="001923F1" w:rsidRPr="00BF0914">
              <w:rPr>
                <w:rFonts w:asciiTheme="majorHAnsi" w:hAnsiTheme="majorHAnsi" w:cstheme="majorHAnsi"/>
              </w:rPr>
              <w:t>Governance</w:t>
            </w:r>
          </w:p>
        </w:tc>
      </w:tr>
      <w:tr w:rsidR="002826C5" w:rsidRPr="00BF0914" w14:paraId="74D7FD44" w14:textId="77777777" w:rsidTr="000876B8">
        <w:trPr>
          <w:trHeight w:val="364"/>
        </w:trPr>
        <w:tc>
          <w:tcPr>
            <w:tcW w:w="2010" w:type="dxa"/>
          </w:tcPr>
          <w:p w14:paraId="46B872EF" w14:textId="482C6520" w:rsidR="002826C5" w:rsidRPr="00BF0914" w:rsidRDefault="002826C5" w:rsidP="003407A8">
            <w:pPr>
              <w:pStyle w:val="TableParagraph"/>
              <w:jc w:val="both"/>
              <w:rPr>
                <w:rFonts w:asciiTheme="majorHAnsi" w:hAnsiTheme="majorHAnsi" w:cstheme="majorHAnsi"/>
              </w:rPr>
            </w:pPr>
            <w:r>
              <w:rPr>
                <w:rFonts w:asciiTheme="majorHAnsi" w:hAnsiTheme="majorHAnsi" w:cstheme="majorHAnsi"/>
              </w:rPr>
              <w:t>CLINI 09</w:t>
            </w:r>
          </w:p>
        </w:tc>
        <w:tc>
          <w:tcPr>
            <w:tcW w:w="7488" w:type="dxa"/>
          </w:tcPr>
          <w:p w14:paraId="2D1E0CA6" w14:textId="0D5C4844" w:rsidR="002826C5" w:rsidRDefault="002826C5" w:rsidP="003407A8">
            <w:pPr>
              <w:pStyle w:val="TableParagraph"/>
              <w:ind w:left="357"/>
              <w:jc w:val="both"/>
              <w:rPr>
                <w:rFonts w:asciiTheme="majorHAnsi" w:hAnsiTheme="majorHAnsi" w:cstheme="majorHAnsi"/>
              </w:rPr>
            </w:pPr>
            <w:r w:rsidRPr="002826C5">
              <w:rPr>
                <w:rFonts w:asciiTheme="majorHAnsi" w:hAnsiTheme="majorHAnsi" w:cstheme="majorHAnsi"/>
              </w:rPr>
              <w:t>Prevention and management of pressure ulcers</w:t>
            </w:r>
          </w:p>
        </w:tc>
      </w:tr>
      <w:tr w:rsidR="001923F1" w:rsidRPr="00BF0914" w14:paraId="68673382" w14:textId="77777777" w:rsidTr="000876B8">
        <w:trPr>
          <w:trHeight w:val="365"/>
        </w:trPr>
        <w:tc>
          <w:tcPr>
            <w:tcW w:w="2010" w:type="dxa"/>
          </w:tcPr>
          <w:p w14:paraId="4B6EBCAA" w14:textId="0A008AC7" w:rsidR="001923F1" w:rsidRPr="00BF0914" w:rsidRDefault="001923F1" w:rsidP="003407A8">
            <w:pPr>
              <w:pStyle w:val="TableParagraph"/>
              <w:jc w:val="both"/>
              <w:rPr>
                <w:rFonts w:asciiTheme="majorHAnsi" w:hAnsiTheme="majorHAnsi" w:cstheme="majorHAnsi"/>
              </w:rPr>
            </w:pPr>
            <w:r w:rsidRPr="00BF0914">
              <w:rPr>
                <w:rFonts w:asciiTheme="majorHAnsi" w:hAnsiTheme="majorHAnsi" w:cstheme="majorHAnsi"/>
              </w:rPr>
              <w:t>C</w:t>
            </w:r>
            <w:r w:rsidR="003D7A87">
              <w:rPr>
                <w:rFonts w:asciiTheme="majorHAnsi" w:hAnsiTheme="majorHAnsi" w:cstheme="majorHAnsi"/>
              </w:rPr>
              <w:t xml:space="preserve">LINI </w:t>
            </w:r>
            <w:r w:rsidRPr="00BF0914">
              <w:rPr>
                <w:rFonts w:asciiTheme="majorHAnsi" w:hAnsiTheme="majorHAnsi" w:cstheme="majorHAnsi"/>
              </w:rPr>
              <w:t>29</w:t>
            </w:r>
          </w:p>
        </w:tc>
        <w:tc>
          <w:tcPr>
            <w:tcW w:w="7488" w:type="dxa"/>
          </w:tcPr>
          <w:p w14:paraId="7248A823" w14:textId="2CED0FDA" w:rsidR="003D7A87" w:rsidRPr="003D7A87" w:rsidRDefault="001923F1" w:rsidP="003407A8">
            <w:pPr>
              <w:pStyle w:val="TableParagraph"/>
              <w:ind w:left="357"/>
              <w:jc w:val="both"/>
              <w:rPr>
                <w:rFonts w:asciiTheme="majorHAnsi" w:hAnsiTheme="majorHAnsi" w:cstheme="majorHAnsi"/>
              </w:rPr>
            </w:pPr>
            <w:r w:rsidRPr="00BF0914">
              <w:rPr>
                <w:rFonts w:asciiTheme="majorHAnsi" w:hAnsiTheme="majorHAnsi" w:cstheme="majorHAnsi"/>
              </w:rPr>
              <w:t>SSD</w:t>
            </w:r>
            <w:r w:rsidRPr="00BF0914">
              <w:rPr>
                <w:rFonts w:asciiTheme="majorHAnsi" w:hAnsiTheme="majorHAnsi" w:cstheme="majorHAnsi"/>
                <w:spacing w:val="1"/>
              </w:rPr>
              <w:t xml:space="preserve"> </w:t>
            </w:r>
            <w:r w:rsidRPr="00BF0914">
              <w:rPr>
                <w:rFonts w:asciiTheme="majorHAnsi" w:hAnsiTheme="majorHAnsi" w:cstheme="majorHAnsi"/>
              </w:rPr>
              <w:t>Vigilance</w:t>
            </w:r>
            <w:r w:rsidRPr="00BF0914">
              <w:rPr>
                <w:rFonts w:asciiTheme="majorHAnsi" w:hAnsiTheme="majorHAnsi" w:cstheme="majorHAnsi"/>
                <w:spacing w:val="-4"/>
              </w:rPr>
              <w:t xml:space="preserve"> </w:t>
            </w:r>
            <w:r w:rsidRPr="00BF0914">
              <w:rPr>
                <w:rFonts w:asciiTheme="majorHAnsi" w:hAnsiTheme="majorHAnsi" w:cstheme="majorHAnsi"/>
              </w:rPr>
              <w:t>Policy</w:t>
            </w:r>
          </w:p>
        </w:tc>
      </w:tr>
      <w:tr w:rsidR="00275963" w:rsidRPr="00BF0914" w14:paraId="0C25DDDA" w14:textId="77777777" w:rsidTr="000876B8">
        <w:trPr>
          <w:trHeight w:val="365"/>
        </w:trPr>
        <w:tc>
          <w:tcPr>
            <w:tcW w:w="2010" w:type="dxa"/>
          </w:tcPr>
          <w:p w14:paraId="4125C38E" w14:textId="0A32DAC4" w:rsidR="00275963" w:rsidRPr="00BF0914" w:rsidRDefault="00275963" w:rsidP="003407A8">
            <w:pPr>
              <w:pStyle w:val="TableParagraph"/>
              <w:jc w:val="both"/>
              <w:rPr>
                <w:rFonts w:asciiTheme="majorHAnsi" w:hAnsiTheme="majorHAnsi" w:cstheme="majorHAnsi"/>
              </w:rPr>
            </w:pPr>
            <w:r>
              <w:rPr>
                <w:rFonts w:asciiTheme="majorHAnsi" w:hAnsiTheme="majorHAnsi" w:cstheme="majorHAnsi"/>
              </w:rPr>
              <w:t>CLINI 45</w:t>
            </w:r>
          </w:p>
        </w:tc>
        <w:tc>
          <w:tcPr>
            <w:tcW w:w="7488" w:type="dxa"/>
          </w:tcPr>
          <w:p w14:paraId="60CBF93F" w14:textId="4EA95121" w:rsidR="00275963" w:rsidRPr="00BF0914" w:rsidRDefault="00275963" w:rsidP="003407A8">
            <w:pPr>
              <w:pStyle w:val="TableParagraph"/>
              <w:ind w:left="357"/>
              <w:jc w:val="both"/>
              <w:rPr>
                <w:rFonts w:asciiTheme="majorHAnsi" w:hAnsiTheme="majorHAnsi" w:cstheme="majorHAnsi"/>
              </w:rPr>
            </w:pPr>
            <w:r w:rsidRPr="00275963">
              <w:rPr>
                <w:rFonts w:asciiTheme="majorHAnsi" w:hAnsiTheme="majorHAnsi" w:cstheme="majorHAnsi"/>
              </w:rPr>
              <w:t>Reducing the risk of DVT and PE (VTE) in patients admitted to hospital</w:t>
            </w:r>
          </w:p>
        </w:tc>
      </w:tr>
      <w:tr w:rsidR="00D57D7D" w:rsidRPr="00BF0914" w14:paraId="46EC9749" w14:textId="77777777" w:rsidTr="000876B8">
        <w:trPr>
          <w:trHeight w:val="365"/>
        </w:trPr>
        <w:tc>
          <w:tcPr>
            <w:tcW w:w="2010" w:type="dxa"/>
          </w:tcPr>
          <w:p w14:paraId="22E619C9" w14:textId="06561E19" w:rsidR="00D57D7D" w:rsidRDefault="00D57D7D" w:rsidP="003407A8">
            <w:pPr>
              <w:pStyle w:val="TableParagraph"/>
              <w:jc w:val="both"/>
              <w:rPr>
                <w:rFonts w:asciiTheme="majorHAnsi" w:hAnsiTheme="majorHAnsi" w:cstheme="majorHAnsi"/>
              </w:rPr>
            </w:pPr>
            <w:r>
              <w:rPr>
                <w:rFonts w:asciiTheme="majorHAnsi" w:hAnsiTheme="majorHAnsi" w:cstheme="majorHAnsi"/>
              </w:rPr>
              <w:t>CLINI 52</w:t>
            </w:r>
          </w:p>
        </w:tc>
        <w:tc>
          <w:tcPr>
            <w:tcW w:w="7488" w:type="dxa"/>
          </w:tcPr>
          <w:p w14:paraId="707801DE" w14:textId="6EADF4B3" w:rsidR="00D57D7D" w:rsidRPr="00275963" w:rsidRDefault="00C342D3" w:rsidP="00C342D3">
            <w:pPr>
              <w:pStyle w:val="TableParagraph"/>
              <w:ind w:left="357"/>
              <w:jc w:val="both"/>
              <w:rPr>
                <w:rFonts w:asciiTheme="majorHAnsi" w:hAnsiTheme="majorHAnsi" w:cstheme="majorHAnsi"/>
              </w:rPr>
            </w:pPr>
            <w:r w:rsidRPr="00C342D3">
              <w:rPr>
                <w:rFonts w:asciiTheme="majorHAnsi" w:hAnsiTheme="majorHAnsi" w:cstheme="majorHAnsi"/>
              </w:rPr>
              <w:t xml:space="preserve">Management of Blood Transfusion Policy   </w:t>
            </w:r>
          </w:p>
        </w:tc>
      </w:tr>
      <w:tr w:rsidR="003D7A87" w:rsidRPr="00BF0914" w14:paraId="1065909E" w14:textId="77777777" w:rsidTr="000876B8">
        <w:trPr>
          <w:trHeight w:val="365"/>
        </w:trPr>
        <w:tc>
          <w:tcPr>
            <w:tcW w:w="2010" w:type="dxa"/>
          </w:tcPr>
          <w:p w14:paraId="7D13B16B" w14:textId="1C406379" w:rsidR="003D7A87" w:rsidRPr="00BF0914" w:rsidRDefault="003D7A87" w:rsidP="003407A8">
            <w:pPr>
              <w:pStyle w:val="TableParagraph"/>
              <w:jc w:val="both"/>
              <w:rPr>
                <w:rFonts w:asciiTheme="majorHAnsi" w:hAnsiTheme="majorHAnsi" w:cstheme="majorHAnsi"/>
              </w:rPr>
            </w:pPr>
            <w:r>
              <w:rPr>
                <w:rFonts w:asciiTheme="majorHAnsi" w:hAnsiTheme="majorHAnsi" w:cstheme="majorHAnsi"/>
              </w:rPr>
              <w:t>CLINI 57</w:t>
            </w:r>
          </w:p>
        </w:tc>
        <w:tc>
          <w:tcPr>
            <w:tcW w:w="7488" w:type="dxa"/>
          </w:tcPr>
          <w:p w14:paraId="778A5180" w14:textId="5F79E6F7" w:rsidR="00802CA4" w:rsidRPr="00BF0914" w:rsidRDefault="003D7A87" w:rsidP="003407A8">
            <w:pPr>
              <w:pStyle w:val="TableParagraph"/>
              <w:ind w:left="357"/>
              <w:jc w:val="both"/>
              <w:rPr>
                <w:rFonts w:asciiTheme="majorHAnsi" w:hAnsiTheme="majorHAnsi" w:cstheme="majorHAnsi"/>
              </w:rPr>
            </w:pPr>
            <w:r w:rsidRPr="003D7A87">
              <w:rPr>
                <w:rFonts w:asciiTheme="majorHAnsi" w:hAnsiTheme="majorHAnsi" w:cstheme="majorHAnsi"/>
              </w:rPr>
              <w:t>End of Life Policy</w:t>
            </w:r>
          </w:p>
        </w:tc>
      </w:tr>
      <w:tr w:rsidR="00B76766" w:rsidRPr="00BF0914" w14:paraId="28215B7C" w14:textId="77777777" w:rsidTr="000876B8">
        <w:trPr>
          <w:trHeight w:val="365"/>
        </w:trPr>
        <w:tc>
          <w:tcPr>
            <w:tcW w:w="2010" w:type="dxa"/>
          </w:tcPr>
          <w:p w14:paraId="614886C4" w14:textId="716BB118" w:rsidR="00B76766" w:rsidRDefault="00B76766" w:rsidP="003407A8">
            <w:pPr>
              <w:pStyle w:val="TableParagraph"/>
              <w:jc w:val="both"/>
              <w:rPr>
                <w:rFonts w:asciiTheme="majorHAnsi" w:hAnsiTheme="majorHAnsi" w:cstheme="majorHAnsi"/>
              </w:rPr>
            </w:pPr>
            <w:r>
              <w:rPr>
                <w:rFonts w:asciiTheme="majorHAnsi" w:hAnsiTheme="majorHAnsi" w:cstheme="majorHAnsi"/>
              </w:rPr>
              <w:t>CLINI 59</w:t>
            </w:r>
          </w:p>
        </w:tc>
        <w:tc>
          <w:tcPr>
            <w:tcW w:w="7488" w:type="dxa"/>
          </w:tcPr>
          <w:p w14:paraId="3666FDBF" w14:textId="4C2211D8" w:rsidR="00B76766" w:rsidRPr="003D7A87" w:rsidRDefault="00B76766" w:rsidP="003407A8">
            <w:pPr>
              <w:pStyle w:val="TableParagraph"/>
              <w:ind w:left="357"/>
              <w:jc w:val="both"/>
              <w:rPr>
                <w:rFonts w:asciiTheme="majorHAnsi" w:hAnsiTheme="majorHAnsi" w:cstheme="majorHAnsi"/>
              </w:rPr>
            </w:pPr>
            <w:r w:rsidRPr="00B76766">
              <w:rPr>
                <w:rFonts w:asciiTheme="majorHAnsi" w:hAnsiTheme="majorHAnsi" w:cstheme="majorHAnsi"/>
              </w:rPr>
              <w:t>Safe Standards in the Perioperative Environment</w:t>
            </w:r>
          </w:p>
        </w:tc>
      </w:tr>
      <w:tr w:rsidR="007B31DC" w:rsidRPr="00BF0914" w14:paraId="45D8FD2D" w14:textId="77777777" w:rsidTr="000876B8">
        <w:trPr>
          <w:trHeight w:val="365"/>
        </w:trPr>
        <w:tc>
          <w:tcPr>
            <w:tcW w:w="2010" w:type="dxa"/>
          </w:tcPr>
          <w:p w14:paraId="3350D7E1" w14:textId="6080F1DD" w:rsidR="007B31DC" w:rsidRDefault="007B31DC" w:rsidP="003407A8">
            <w:pPr>
              <w:pStyle w:val="TableParagraph"/>
              <w:jc w:val="both"/>
              <w:rPr>
                <w:rFonts w:asciiTheme="majorHAnsi" w:hAnsiTheme="majorHAnsi" w:cstheme="majorHAnsi"/>
              </w:rPr>
            </w:pPr>
            <w:r>
              <w:rPr>
                <w:rFonts w:asciiTheme="majorHAnsi" w:hAnsiTheme="majorHAnsi" w:cstheme="majorHAnsi"/>
              </w:rPr>
              <w:t>CLINI 64</w:t>
            </w:r>
          </w:p>
        </w:tc>
        <w:tc>
          <w:tcPr>
            <w:tcW w:w="7488" w:type="dxa"/>
          </w:tcPr>
          <w:p w14:paraId="3F76A65C" w14:textId="557B1B69" w:rsidR="007B31DC" w:rsidRPr="003D7A87" w:rsidRDefault="007B31DC" w:rsidP="003407A8">
            <w:pPr>
              <w:pStyle w:val="TableParagraph"/>
              <w:ind w:left="357"/>
              <w:jc w:val="both"/>
              <w:rPr>
                <w:rFonts w:asciiTheme="majorHAnsi" w:hAnsiTheme="majorHAnsi" w:cstheme="majorHAnsi"/>
              </w:rPr>
            </w:pPr>
            <w:r w:rsidRPr="007B31DC">
              <w:rPr>
                <w:rFonts w:asciiTheme="majorHAnsi" w:hAnsiTheme="majorHAnsi" w:cstheme="majorHAnsi"/>
              </w:rPr>
              <w:t>Prevention and Management of Falls</w:t>
            </w:r>
          </w:p>
        </w:tc>
      </w:tr>
      <w:tr w:rsidR="00802CA4" w:rsidRPr="00BF0914" w14:paraId="108A4CA6" w14:textId="77777777" w:rsidTr="000876B8">
        <w:trPr>
          <w:trHeight w:val="365"/>
        </w:trPr>
        <w:tc>
          <w:tcPr>
            <w:tcW w:w="2010" w:type="dxa"/>
          </w:tcPr>
          <w:p w14:paraId="7516137D" w14:textId="204CC6FA" w:rsidR="00802CA4" w:rsidRDefault="00802CA4" w:rsidP="003407A8">
            <w:pPr>
              <w:pStyle w:val="TableParagraph"/>
              <w:jc w:val="both"/>
              <w:rPr>
                <w:rFonts w:asciiTheme="majorHAnsi" w:hAnsiTheme="majorHAnsi" w:cstheme="majorHAnsi"/>
              </w:rPr>
            </w:pPr>
            <w:r>
              <w:rPr>
                <w:rFonts w:asciiTheme="majorHAnsi" w:hAnsiTheme="majorHAnsi" w:cstheme="majorHAnsi"/>
              </w:rPr>
              <w:t>CLINI 83</w:t>
            </w:r>
          </w:p>
        </w:tc>
        <w:tc>
          <w:tcPr>
            <w:tcW w:w="7488" w:type="dxa"/>
          </w:tcPr>
          <w:p w14:paraId="6AF693A0" w14:textId="475B839D" w:rsidR="00802CA4" w:rsidRPr="003D7A87" w:rsidRDefault="00802CA4" w:rsidP="003407A8">
            <w:pPr>
              <w:pStyle w:val="TableParagraph"/>
              <w:ind w:left="357"/>
              <w:jc w:val="both"/>
              <w:rPr>
                <w:rFonts w:asciiTheme="majorHAnsi" w:hAnsiTheme="majorHAnsi" w:cstheme="majorHAnsi"/>
              </w:rPr>
            </w:pPr>
            <w:r w:rsidRPr="00802CA4">
              <w:rPr>
                <w:rFonts w:asciiTheme="majorHAnsi" w:hAnsiTheme="majorHAnsi" w:cstheme="majorHAnsi"/>
              </w:rPr>
              <w:t>Surveillance for HCAI Policy</w:t>
            </w:r>
          </w:p>
        </w:tc>
      </w:tr>
      <w:tr w:rsidR="00D879CF" w:rsidRPr="00BF0914" w14:paraId="18E22A6F" w14:textId="77777777" w:rsidTr="000876B8">
        <w:trPr>
          <w:trHeight w:val="365"/>
        </w:trPr>
        <w:tc>
          <w:tcPr>
            <w:tcW w:w="2010" w:type="dxa"/>
          </w:tcPr>
          <w:p w14:paraId="4C7DA925" w14:textId="49824FC7" w:rsidR="00D879CF" w:rsidRDefault="00D879CF" w:rsidP="003407A8">
            <w:pPr>
              <w:pStyle w:val="TableParagraph"/>
              <w:jc w:val="both"/>
              <w:rPr>
                <w:rFonts w:asciiTheme="majorHAnsi" w:hAnsiTheme="majorHAnsi" w:cstheme="majorHAnsi"/>
              </w:rPr>
            </w:pPr>
            <w:r w:rsidRPr="00BF0914">
              <w:rPr>
                <w:rFonts w:asciiTheme="majorHAnsi" w:hAnsiTheme="majorHAnsi" w:cstheme="majorHAnsi"/>
              </w:rPr>
              <w:t>F</w:t>
            </w:r>
            <w:r>
              <w:rPr>
                <w:rFonts w:asciiTheme="majorHAnsi" w:hAnsiTheme="majorHAnsi" w:cstheme="majorHAnsi"/>
              </w:rPr>
              <w:t>IN</w:t>
            </w:r>
            <w:r w:rsidRPr="00BF0914">
              <w:rPr>
                <w:rFonts w:asciiTheme="majorHAnsi" w:hAnsiTheme="majorHAnsi" w:cstheme="majorHAnsi"/>
                <w:spacing w:val="1"/>
              </w:rPr>
              <w:t xml:space="preserve"> </w:t>
            </w:r>
            <w:r w:rsidRPr="00BF0914">
              <w:rPr>
                <w:rFonts w:asciiTheme="majorHAnsi" w:hAnsiTheme="majorHAnsi" w:cstheme="majorHAnsi"/>
              </w:rPr>
              <w:t>03</w:t>
            </w:r>
          </w:p>
        </w:tc>
        <w:tc>
          <w:tcPr>
            <w:tcW w:w="7488" w:type="dxa"/>
          </w:tcPr>
          <w:p w14:paraId="0BCED586" w14:textId="273B6188" w:rsidR="00D879CF" w:rsidRPr="00802CA4" w:rsidRDefault="00D879CF" w:rsidP="003407A8">
            <w:pPr>
              <w:pStyle w:val="TableParagraph"/>
              <w:ind w:left="357"/>
              <w:jc w:val="both"/>
              <w:rPr>
                <w:rFonts w:asciiTheme="majorHAnsi" w:hAnsiTheme="majorHAnsi" w:cstheme="majorHAnsi"/>
              </w:rPr>
            </w:pPr>
            <w:r w:rsidRPr="00BF0914">
              <w:rPr>
                <w:rFonts w:asciiTheme="majorHAnsi" w:hAnsiTheme="majorHAnsi" w:cstheme="majorHAnsi"/>
              </w:rPr>
              <w:t>Risk</w:t>
            </w:r>
            <w:r w:rsidRPr="00BF0914">
              <w:rPr>
                <w:rFonts w:asciiTheme="majorHAnsi" w:hAnsiTheme="majorHAnsi" w:cstheme="majorHAnsi"/>
                <w:spacing w:val="-3"/>
              </w:rPr>
              <w:t xml:space="preserve"> </w:t>
            </w:r>
            <w:r w:rsidRPr="00BF0914">
              <w:rPr>
                <w:rFonts w:asciiTheme="majorHAnsi" w:hAnsiTheme="majorHAnsi" w:cstheme="majorHAnsi"/>
              </w:rPr>
              <w:t>Management</w:t>
            </w:r>
            <w:r w:rsidRPr="00BF0914">
              <w:rPr>
                <w:rFonts w:asciiTheme="majorHAnsi" w:hAnsiTheme="majorHAnsi" w:cstheme="majorHAnsi"/>
                <w:spacing w:val="-3"/>
              </w:rPr>
              <w:t xml:space="preserve"> </w:t>
            </w:r>
            <w:r w:rsidRPr="00BF0914">
              <w:rPr>
                <w:rFonts w:asciiTheme="majorHAnsi" w:hAnsiTheme="majorHAnsi" w:cstheme="majorHAnsi"/>
              </w:rPr>
              <w:t>Policy</w:t>
            </w:r>
          </w:p>
        </w:tc>
      </w:tr>
      <w:tr w:rsidR="00D879CF" w:rsidRPr="00BF0914" w14:paraId="5AF88F3A" w14:textId="77777777" w:rsidTr="000876B8">
        <w:trPr>
          <w:trHeight w:val="365"/>
        </w:trPr>
        <w:tc>
          <w:tcPr>
            <w:tcW w:w="2010" w:type="dxa"/>
          </w:tcPr>
          <w:p w14:paraId="6753704C" w14:textId="2C1968E3" w:rsidR="00D879CF" w:rsidRDefault="00D879CF" w:rsidP="003407A8">
            <w:pPr>
              <w:pStyle w:val="TableParagraph"/>
              <w:jc w:val="both"/>
              <w:rPr>
                <w:rFonts w:asciiTheme="majorHAnsi" w:hAnsiTheme="majorHAnsi" w:cstheme="majorHAnsi"/>
              </w:rPr>
            </w:pPr>
            <w:r w:rsidRPr="00BF0914">
              <w:rPr>
                <w:rFonts w:asciiTheme="majorHAnsi" w:hAnsiTheme="majorHAnsi" w:cstheme="majorHAnsi"/>
              </w:rPr>
              <w:t>F</w:t>
            </w:r>
            <w:r>
              <w:rPr>
                <w:rFonts w:asciiTheme="majorHAnsi" w:hAnsiTheme="majorHAnsi" w:cstheme="majorHAnsi"/>
              </w:rPr>
              <w:t>IN 05</w:t>
            </w:r>
          </w:p>
        </w:tc>
        <w:tc>
          <w:tcPr>
            <w:tcW w:w="7488" w:type="dxa"/>
          </w:tcPr>
          <w:p w14:paraId="07080D72" w14:textId="65D99512" w:rsidR="00D879CF" w:rsidRPr="00802CA4" w:rsidRDefault="00D879CF" w:rsidP="003407A8">
            <w:pPr>
              <w:pStyle w:val="TableParagraph"/>
              <w:ind w:left="357"/>
              <w:jc w:val="both"/>
              <w:rPr>
                <w:rFonts w:asciiTheme="majorHAnsi" w:hAnsiTheme="majorHAnsi" w:cstheme="majorHAnsi"/>
              </w:rPr>
            </w:pPr>
            <w:r w:rsidRPr="00BF0914">
              <w:rPr>
                <w:rFonts w:asciiTheme="majorHAnsi" w:hAnsiTheme="majorHAnsi" w:cstheme="majorHAnsi"/>
              </w:rPr>
              <w:t>Duty</w:t>
            </w:r>
            <w:r w:rsidRPr="00BF0914">
              <w:rPr>
                <w:rFonts w:asciiTheme="majorHAnsi" w:hAnsiTheme="majorHAnsi" w:cstheme="majorHAnsi"/>
                <w:spacing w:val="-2"/>
              </w:rPr>
              <w:t xml:space="preserve"> </w:t>
            </w:r>
            <w:r w:rsidRPr="00BF0914">
              <w:rPr>
                <w:rFonts w:asciiTheme="majorHAnsi" w:hAnsiTheme="majorHAnsi" w:cstheme="majorHAnsi"/>
              </w:rPr>
              <w:t>of Candour</w:t>
            </w:r>
          </w:p>
        </w:tc>
      </w:tr>
      <w:tr w:rsidR="00D879CF" w:rsidRPr="00BF0914" w14:paraId="07C72D7B" w14:textId="77777777" w:rsidTr="000876B8">
        <w:trPr>
          <w:trHeight w:val="365"/>
        </w:trPr>
        <w:tc>
          <w:tcPr>
            <w:tcW w:w="2010" w:type="dxa"/>
          </w:tcPr>
          <w:p w14:paraId="5C7B3AC0" w14:textId="6738ADC0" w:rsidR="00D879CF" w:rsidRDefault="00D879CF" w:rsidP="003407A8">
            <w:pPr>
              <w:pStyle w:val="TableParagraph"/>
              <w:jc w:val="both"/>
              <w:rPr>
                <w:rFonts w:asciiTheme="majorHAnsi" w:hAnsiTheme="majorHAnsi" w:cstheme="majorHAnsi"/>
              </w:rPr>
            </w:pPr>
            <w:r w:rsidRPr="00BF0914">
              <w:rPr>
                <w:rFonts w:asciiTheme="majorHAnsi" w:hAnsiTheme="majorHAnsi" w:cstheme="majorHAnsi"/>
              </w:rPr>
              <w:t>F</w:t>
            </w:r>
            <w:r>
              <w:rPr>
                <w:rFonts w:asciiTheme="majorHAnsi" w:hAnsiTheme="majorHAnsi" w:cstheme="majorHAnsi"/>
              </w:rPr>
              <w:t>IN</w:t>
            </w:r>
            <w:r>
              <w:rPr>
                <w:rFonts w:asciiTheme="majorHAnsi" w:hAnsiTheme="majorHAnsi" w:cstheme="majorHAnsi"/>
                <w:spacing w:val="1"/>
              </w:rPr>
              <w:t xml:space="preserve"> </w:t>
            </w:r>
            <w:r w:rsidRPr="00BF0914">
              <w:rPr>
                <w:rFonts w:asciiTheme="majorHAnsi" w:hAnsiTheme="majorHAnsi" w:cstheme="majorHAnsi"/>
              </w:rPr>
              <w:t>14</w:t>
            </w:r>
          </w:p>
        </w:tc>
        <w:tc>
          <w:tcPr>
            <w:tcW w:w="7488" w:type="dxa"/>
          </w:tcPr>
          <w:p w14:paraId="7E89CE95" w14:textId="046E9344" w:rsidR="00D879CF" w:rsidRPr="00802CA4" w:rsidRDefault="00D879CF" w:rsidP="003407A8">
            <w:pPr>
              <w:pStyle w:val="TableParagraph"/>
              <w:ind w:left="357"/>
              <w:jc w:val="both"/>
              <w:rPr>
                <w:rFonts w:asciiTheme="majorHAnsi" w:hAnsiTheme="majorHAnsi" w:cstheme="majorHAnsi"/>
              </w:rPr>
            </w:pPr>
            <w:r w:rsidRPr="00BF0914">
              <w:rPr>
                <w:rFonts w:asciiTheme="majorHAnsi" w:hAnsiTheme="majorHAnsi" w:cstheme="majorHAnsi"/>
              </w:rPr>
              <w:t>Management</w:t>
            </w:r>
            <w:r w:rsidRPr="00BF0914">
              <w:rPr>
                <w:rFonts w:asciiTheme="majorHAnsi" w:hAnsiTheme="majorHAnsi" w:cstheme="majorHAnsi"/>
                <w:spacing w:val="-1"/>
              </w:rPr>
              <w:t xml:space="preserve"> </w:t>
            </w:r>
            <w:r w:rsidRPr="00BF0914">
              <w:rPr>
                <w:rFonts w:asciiTheme="majorHAnsi" w:hAnsiTheme="majorHAnsi" w:cstheme="majorHAnsi"/>
              </w:rPr>
              <w:t>of Claims</w:t>
            </w:r>
          </w:p>
        </w:tc>
      </w:tr>
      <w:tr w:rsidR="00D879CF" w:rsidRPr="00BF0914" w14:paraId="0E5045F3" w14:textId="77777777" w:rsidTr="000876B8">
        <w:trPr>
          <w:trHeight w:val="365"/>
        </w:trPr>
        <w:tc>
          <w:tcPr>
            <w:tcW w:w="2010" w:type="dxa"/>
          </w:tcPr>
          <w:p w14:paraId="618708DD" w14:textId="21145C7D" w:rsidR="00D879CF" w:rsidRDefault="00D879CF" w:rsidP="003407A8">
            <w:pPr>
              <w:pStyle w:val="TableParagraph"/>
              <w:jc w:val="both"/>
              <w:rPr>
                <w:rFonts w:asciiTheme="majorHAnsi" w:hAnsiTheme="majorHAnsi" w:cstheme="majorHAnsi"/>
              </w:rPr>
            </w:pPr>
            <w:r w:rsidRPr="00BF0914">
              <w:rPr>
                <w:rFonts w:asciiTheme="majorHAnsi" w:hAnsiTheme="majorHAnsi" w:cstheme="majorHAnsi"/>
              </w:rPr>
              <w:t>HOP 02</w:t>
            </w:r>
          </w:p>
        </w:tc>
        <w:tc>
          <w:tcPr>
            <w:tcW w:w="7488" w:type="dxa"/>
          </w:tcPr>
          <w:p w14:paraId="146C0032" w14:textId="252CF783" w:rsidR="00D879CF" w:rsidRPr="00802CA4" w:rsidRDefault="00D879CF" w:rsidP="003407A8">
            <w:pPr>
              <w:pStyle w:val="TableParagraph"/>
              <w:ind w:left="357"/>
              <w:jc w:val="both"/>
              <w:rPr>
                <w:rFonts w:asciiTheme="majorHAnsi" w:hAnsiTheme="majorHAnsi" w:cstheme="majorHAnsi"/>
              </w:rPr>
            </w:pPr>
            <w:r w:rsidRPr="00BF0914">
              <w:rPr>
                <w:rFonts w:asciiTheme="majorHAnsi" w:hAnsiTheme="majorHAnsi" w:cstheme="majorHAnsi"/>
              </w:rPr>
              <w:t>Complaints</w:t>
            </w:r>
            <w:r w:rsidRPr="00BF0914">
              <w:rPr>
                <w:rFonts w:asciiTheme="majorHAnsi" w:hAnsiTheme="majorHAnsi" w:cstheme="majorHAnsi"/>
                <w:spacing w:val="-3"/>
              </w:rPr>
              <w:t xml:space="preserve"> </w:t>
            </w:r>
            <w:r w:rsidRPr="00BF0914">
              <w:rPr>
                <w:rFonts w:asciiTheme="majorHAnsi" w:hAnsiTheme="majorHAnsi" w:cstheme="majorHAnsi"/>
              </w:rPr>
              <w:t>Policy</w:t>
            </w:r>
          </w:p>
        </w:tc>
      </w:tr>
      <w:tr w:rsidR="00D879CF" w:rsidRPr="00BF0914" w14:paraId="3B16E7FB" w14:textId="77777777" w:rsidTr="000876B8">
        <w:trPr>
          <w:trHeight w:val="365"/>
        </w:trPr>
        <w:tc>
          <w:tcPr>
            <w:tcW w:w="2010" w:type="dxa"/>
          </w:tcPr>
          <w:p w14:paraId="2E099BB3" w14:textId="6BE8DA7E" w:rsidR="00D879CF" w:rsidRDefault="00D879CF" w:rsidP="003407A8">
            <w:pPr>
              <w:pStyle w:val="TableParagraph"/>
              <w:jc w:val="both"/>
              <w:rPr>
                <w:rFonts w:asciiTheme="majorHAnsi" w:hAnsiTheme="majorHAnsi" w:cstheme="majorHAnsi"/>
              </w:rPr>
            </w:pPr>
            <w:r>
              <w:rPr>
                <w:rFonts w:asciiTheme="majorHAnsi" w:hAnsiTheme="majorHAnsi" w:cstheme="majorHAnsi"/>
              </w:rPr>
              <w:t>HS 09</w:t>
            </w:r>
          </w:p>
        </w:tc>
        <w:tc>
          <w:tcPr>
            <w:tcW w:w="7488" w:type="dxa"/>
          </w:tcPr>
          <w:p w14:paraId="41A6E7C9" w14:textId="7F43253E" w:rsidR="00D879CF" w:rsidRPr="00802CA4" w:rsidRDefault="00D879CF" w:rsidP="003407A8">
            <w:pPr>
              <w:pStyle w:val="TableParagraph"/>
              <w:ind w:left="357"/>
              <w:jc w:val="both"/>
              <w:rPr>
                <w:rFonts w:asciiTheme="majorHAnsi" w:hAnsiTheme="majorHAnsi" w:cstheme="majorHAnsi"/>
              </w:rPr>
            </w:pPr>
            <w:r w:rsidRPr="00D879CF">
              <w:rPr>
                <w:rFonts w:asciiTheme="majorHAnsi" w:hAnsiTheme="majorHAnsi" w:cstheme="majorHAnsi"/>
              </w:rPr>
              <w:t>Reporting of Injuries, Diseases and Dangerous Occurrences (RIDDOR)    </w:t>
            </w:r>
          </w:p>
        </w:tc>
      </w:tr>
      <w:tr w:rsidR="001923F1" w:rsidRPr="00BF0914" w14:paraId="311511AD" w14:textId="77777777" w:rsidTr="000876B8">
        <w:trPr>
          <w:trHeight w:val="362"/>
        </w:trPr>
        <w:tc>
          <w:tcPr>
            <w:tcW w:w="2010" w:type="dxa"/>
          </w:tcPr>
          <w:p w14:paraId="5A2FF889" w14:textId="3725A9EF" w:rsidR="001923F1" w:rsidRPr="00BF0914" w:rsidRDefault="00671985" w:rsidP="003407A8">
            <w:pPr>
              <w:pStyle w:val="TableParagraph"/>
              <w:jc w:val="both"/>
              <w:rPr>
                <w:rFonts w:asciiTheme="majorHAnsi" w:hAnsiTheme="majorHAnsi" w:cstheme="majorHAnsi"/>
              </w:rPr>
            </w:pPr>
            <w:r w:rsidRPr="00BF0914">
              <w:rPr>
                <w:rFonts w:asciiTheme="majorHAnsi" w:hAnsiTheme="majorHAnsi" w:cstheme="majorHAnsi"/>
              </w:rPr>
              <w:t xml:space="preserve">Med 01 </w:t>
            </w:r>
            <w:r w:rsidR="001923F1" w:rsidRPr="00BF0914">
              <w:rPr>
                <w:rFonts w:asciiTheme="majorHAnsi" w:hAnsiTheme="majorHAnsi" w:cstheme="majorHAnsi"/>
              </w:rPr>
              <w:t>SOP 05</w:t>
            </w:r>
          </w:p>
        </w:tc>
        <w:tc>
          <w:tcPr>
            <w:tcW w:w="7488" w:type="dxa"/>
          </w:tcPr>
          <w:p w14:paraId="7D5E98B3" w14:textId="77777777" w:rsidR="001923F1" w:rsidRPr="00BF0914" w:rsidRDefault="001923F1" w:rsidP="003407A8">
            <w:pPr>
              <w:pStyle w:val="TableParagraph"/>
              <w:ind w:left="357"/>
              <w:jc w:val="both"/>
              <w:rPr>
                <w:rFonts w:asciiTheme="majorHAnsi" w:hAnsiTheme="majorHAnsi" w:cstheme="majorHAnsi"/>
              </w:rPr>
            </w:pPr>
            <w:r w:rsidRPr="00BF0914">
              <w:rPr>
                <w:rFonts w:asciiTheme="majorHAnsi" w:hAnsiTheme="majorHAnsi" w:cstheme="majorHAnsi"/>
              </w:rPr>
              <w:t>Managing</w:t>
            </w:r>
            <w:r w:rsidRPr="00BF0914">
              <w:rPr>
                <w:rFonts w:asciiTheme="majorHAnsi" w:hAnsiTheme="majorHAnsi" w:cstheme="majorHAnsi"/>
                <w:spacing w:val="-4"/>
              </w:rPr>
              <w:t xml:space="preserve"> </w:t>
            </w:r>
            <w:r w:rsidRPr="00BF0914">
              <w:rPr>
                <w:rFonts w:asciiTheme="majorHAnsi" w:hAnsiTheme="majorHAnsi" w:cstheme="majorHAnsi"/>
              </w:rPr>
              <w:t>Performance</w:t>
            </w:r>
            <w:r w:rsidRPr="00BF0914">
              <w:rPr>
                <w:rFonts w:asciiTheme="majorHAnsi" w:hAnsiTheme="majorHAnsi" w:cstheme="majorHAnsi"/>
                <w:spacing w:val="-4"/>
              </w:rPr>
              <w:t xml:space="preserve"> </w:t>
            </w:r>
            <w:r w:rsidRPr="00BF0914">
              <w:rPr>
                <w:rFonts w:asciiTheme="majorHAnsi" w:hAnsiTheme="majorHAnsi" w:cstheme="majorHAnsi"/>
              </w:rPr>
              <w:t>Concerns</w:t>
            </w:r>
          </w:p>
        </w:tc>
      </w:tr>
      <w:tr w:rsidR="00CE13FC" w:rsidRPr="00BF0914" w14:paraId="08F7880E" w14:textId="77777777" w:rsidTr="000876B8">
        <w:trPr>
          <w:trHeight w:val="362"/>
        </w:trPr>
        <w:tc>
          <w:tcPr>
            <w:tcW w:w="2010" w:type="dxa"/>
          </w:tcPr>
          <w:p w14:paraId="1FFD5BFC" w14:textId="4477B790" w:rsidR="00CE13FC" w:rsidRPr="00BF0914" w:rsidRDefault="00CE13FC" w:rsidP="003407A8">
            <w:pPr>
              <w:pStyle w:val="TableParagraph"/>
              <w:jc w:val="both"/>
              <w:rPr>
                <w:rFonts w:asciiTheme="majorHAnsi" w:hAnsiTheme="majorHAnsi" w:cstheme="majorHAnsi"/>
              </w:rPr>
            </w:pPr>
            <w:r w:rsidRPr="00BF0914">
              <w:rPr>
                <w:rFonts w:asciiTheme="majorHAnsi" w:hAnsiTheme="majorHAnsi" w:cstheme="majorHAnsi"/>
              </w:rPr>
              <w:t>MED 02</w:t>
            </w:r>
          </w:p>
        </w:tc>
        <w:tc>
          <w:tcPr>
            <w:tcW w:w="7488" w:type="dxa"/>
          </w:tcPr>
          <w:p w14:paraId="55BE84BF" w14:textId="3FC9F225" w:rsidR="00CE13FC" w:rsidRPr="00BF0914" w:rsidRDefault="00CE13FC" w:rsidP="003407A8">
            <w:pPr>
              <w:pStyle w:val="TableParagraph"/>
              <w:ind w:left="357"/>
              <w:jc w:val="both"/>
              <w:rPr>
                <w:rFonts w:asciiTheme="majorHAnsi" w:hAnsiTheme="majorHAnsi" w:cstheme="majorHAnsi"/>
              </w:rPr>
            </w:pPr>
            <w:r w:rsidRPr="00BF0914">
              <w:rPr>
                <w:rFonts w:asciiTheme="majorHAnsi" w:hAnsiTheme="majorHAnsi" w:cstheme="majorHAnsi"/>
              </w:rPr>
              <w:t>Consultants’</w:t>
            </w:r>
            <w:r w:rsidRPr="00BF0914">
              <w:rPr>
                <w:rFonts w:asciiTheme="majorHAnsi" w:hAnsiTheme="majorHAnsi" w:cstheme="majorHAnsi"/>
                <w:spacing w:val="-2"/>
              </w:rPr>
              <w:t xml:space="preserve"> </w:t>
            </w:r>
            <w:r w:rsidRPr="00BF0914">
              <w:rPr>
                <w:rFonts w:asciiTheme="majorHAnsi" w:hAnsiTheme="majorHAnsi" w:cstheme="majorHAnsi"/>
              </w:rPr>
              <w:t>Handbook</w:t>
            </w:r>
          </w:p>
        </w:tc>
      </w:tr>
    </w:tbl>
    <w:p w14:paraId="53BF4B13" w14:textId="77777777" w:rsidR="0028454A" w:rsidRDefault="0028454A" w:rsidP="00E61DD1">
      <w:pPr>
        <w:pStyle w:val="Heading1"/>
        <w:numPr>
          <w:ilvl w:val="0"/>
          <w:numId w:val="0"/>
        </w:numPr>
        <w:ind w:left="762"/>
      </w:pPr>
    </w:p>
    <w:p w14:paraId="6BF52E7E" w14:textId="10737CD9" w:rsidR="00152F72" w:rsidRPr="004B3C05" w:rsidRDefault="004B3C05" w:rsidP="00AB2AC6">
      <w:pPr>
        <w:pStyle w:val="Heading1"/>
        <w:rPr>
          <w:caps w:val="0"/>
          <w:color w:val="008385"/>
        </w:rPr>
      </w:pPr>
      <w:bookmarkStart w:id="56" w:name="_Toc159429871"/>
      <w:r w:rsidRPr="004B3C05">
        <w:rPr>
          <w:caps w:val="0"/>
          <w:color w:val="008385"/>
        </w:rPr>
        <w:t>GLOSSARY OF TERMS:</w:t>
      </w:r>
      <w:bookmarkEnd w:id="56"/>
      <w:r w:rsidRPr="004B3C05">
        <w:rPr>
          <w:caps w:val="0"/>
          <w:color w:val="008385"/>
        </w:rPr>
        <w:t xml:space="preserve"> </w:t>
      </w:r>
    </w:p>
    <w:p w14:paraId="4768344E" w14:textId="793C8D7F" w:rsidR="00152F72" w:rsidRPr="00152F72" w:rsidRDefault="00152F72" w:rsidP="00E61DD1">
      <w:pPr>
        <w:spacing w:after="0"/>
        <w:ind w:left="4320" w:hanging="4125"/>
        <w:jc w:val="both"/>
        <w:rPr>
          <w:rFonts w:asciiTheme="majorHAnsi" w:hAnsiTheme="majorHAnsi" w:cstheme="majorHAnsi"/>
        </w:rPr>
      </w:pPr>
      <w:r w:rsidRPr="004B3C05">
        <w:rPr>
          <w:rFonts w:asciiTheme="majorHAnsi" w:hAnsiTheme="majorHAnsi" w:cstheme="majorHAnsi"/>
          <w:b/>
          <w:bCs/>
        </w:rPr>
        <w:t>After Action Review (AAR)</w:t>
      </w:r>
      <w:r w:rsidR="00097D03">
        <w:rPr>
          <w:rFonts w:asciiTheme="majorHAnsi" w:hAnsiTheme="majorHAnsi" w:cstheme="majorHAnsi"/>
        </w:rPr>
        <w:t xml:space="preserve"> </w:t>
      </w:r>
      <w:r w:rsidR="00097D03">
        <w:rPr>
          <w:rFonts w:asciiTheme="majorHAnsi" w:hAnsiTheme="majorHAnsi" w:cstheme="majorHAnsi"/>
        </w:rPr>
        <w:tab/>
      </w:r>
      <w:r w:rsidRPr="00152F72">
        <w:rPr>
          <w:rFonts w:asciiTheme="majorHAnsi" w:hAnsiTheme="majorHAnsi" w:cstheme="majorHAnsi"/>
        </w:rPr>
        <w:t xml:space="preserve">A structured approach for reflecting on the work of a group and identifying strengths, </w:t>
      </w:r>
      <w:r w:rsidR="004B3C05" w:rsidRPr="00152F72">
        <w:rPr>
          <w:rFonts w:asciiTheme="majorHAnsi" w:hAnsiTheme="majorHAnsi" w:cstheme="majorHAnsi"/>
        </w:rPr>
        <w:t>weaknesses,</w:t>
      </w:r>
      <w:r w:rsidRPr="00152F72">
        <w:rPr>
          <w:rFonts w:asciiTheme="majorHAnsi" w:hAnsiTheme="majorHAnsi" w:cstheme="majorHAnsi"/>
        </w:rPr>
        <w:t xml:space="preserve"> and areas for improvement.</w:t>
      </w:r>
    </w:p>
    <w:p w14:paraId="03AB7A18" w14:textId="2E464169" w:rsidR="00152F72" w:rsidRPr="00152F72" w:rsidRDefault="00152F72" w:rsidP="00E61DD1">
      <w:pPr>
        <w:spacing w:after="0"/>
        <w:ind w:left="195"/>
        <w:jc w:val="both"/>
        <w:rPr>
          <w:rFonts w:asciiTheme="majorHAnsi" w:hAnsiTheme="majorHAnsi" w:cstheme="majorHAnsi"/>
        </w:rPr>
      </w:pPr>
      <w:r w:rsidRPr="004B3C05">
        <w:rPr>
          <w:rFonts w:asciiTheme="majorHAnsi" w:hAnsiTheme="majorHAnsi" w:cstheme="majorHAnsi"/>
          <w:b/>
          <w:bCs/>
        </w:rPr>
        <w:t xml:space="preserve">Candour </w:t>
      </w:r>
      <w:r w:rsidR="00097D03">
        <w:rPr>
          <w:rFonts w:asciiTheme="majorHAnsi" w:hAnsiTheme="majorHAnsi" w:cstheme="majorHAnsi"/>
        </w:rPr>
        <w:tab/>
      </w:r>
      <w:r w:rsidR="00097D03">
        <w:rPr>
          <w:rFonts w:asciiTheme="majorHAnsi" w:hAnsiTheme="majorHAnsi" w:cstheme="majorHAnsi"/>
        </w:rPr>
        <w:tab/>
      </w:r>
      <w:r w:rsidR="00097D03">
        <w:rPr>
          <w:rFonts w:asciiTheme="majorHAnsi" w:hAnsiTheme="majorHAnsi" w:cstheme="majorHAnsi"/>
        </w:rPr>
        <w:tab/>
      </w:r>
      <w:r w:rsidR="00097D03">
        <w:rPr>
          <w:rFonts w:asciiTheme="majorHAnsi" w:hAnsiTheme="majorHAnsi" w:cstheme="majorHAnsi"/>
        </w:rPr>
        <w:tab/>
      </w:r>
      <w:r w:rsidR="00097D03">
        <w:rPr>
          <w:rFonts w:asciiTheme="majorHAnsi" w:hAnsiTheme="majorHAnsi" w:cstheme="majorHAnsi"/>
        </w:rPr>
        <w:tab/>
      </w:r>
      <w:r w:rsidRPr="00152F72">
        <w:rPr>
          <w:rFonts w:asciiTheme="majorHAnsi" w:hAnsiTheme="majorHAnsi" w:cstheme="majorHAnsi"/>
        </w:rPr>
        <w:t xml:space="preserve">The quality of being open and honest. </w:t>
      </w:r>
    </w:p>
    <w:p w14:paraId="5A140BD2" w14:textId="2EE35901" w:rsidR="00152F72" w:rsidRPr="00152F72" w:rsidRDefault="00152F72" w:rsidP="00E61DD1">
      <w:pPr>
        <w:spacing w:after="0"/>
        <w:ind w:left="4320" w:hanging="4125"/>
        <w:jc w:val="both"/>
        <w:rPr>
          <w:rFonts w:asciiTheme="majorHAnsi" w:hAnsiTheme="majorHAnsi" w:cstheme="majorHAnsi"/>
        </w:rPr>
      </w:pPr>
      <w:r w:rsidRPr="004B3C05">
        <w:rPr>
          <w:rFonts w:asciiTheme="majorHAnsi" w:hAnsiTheme="majorHAnsi" w:cstheme="majorHAnsi"/>
          <w:b/>
          <w:bCs/>
        </w:rPr>
        <w:t>Duty of Candour</w:t>
      </w:r>
      <w:r w:rsidRPr="00152F72">
        <w:rPr>
          <w:rFonts w:asciiTheme="majorHAnsi" w:hAnsiTheme="majorHAnsi" w:cstheme="majorHAnsi"/>
        </w:rPr>
        <w:t xml:space="preserve"> </w:t>
      </w:r>
      <w:r w:rsidR="00097D03">
        <w:rPr>
          <w:rFonts w:asciiTheme="majorHAnsi" w:hAnsiTheme="majorHAnsi" w:cstheme="majorHAnsi"/>
        </w:rPr>
        <w:tab/>
      </w:r>
      <w:r w:rsidRPr="00152F72">
        <w:rPr>
          <w:rFonts w:asciiTheme="majorHAnsi" w:hAnsiTheme="majorHAnsi" w:cstheme="majorHAnsi"/>
        </w:rPr>
        <w:t>Responsibility to be open and transparent in relation to a safety incident</w:t>
      </w:r>
    </w:p>
    <w:p w14:paraId="4428C094" w14:textId="39C42C83" w:rsidR="00152F72" w:rsidRPr="00152F72" w:rsidRDefault="00152F72" w:rsidP="00E61DD1">
      <w:pPr>
        <w:spacing w:after="0"/>
        <w:ind w:left="4320" w:hanging="4125"/>
        <w:jc w:val="both"/>
        <w:rPr>
          <w:rFonts w:asciiTheme="majorHAnsi" w:hAnsiTheme="majorHAnsi" w:cstheme="majorHAnsi"/>
        </w:rPr>
      </w:pPr>
      <w:r w:rsidRPr="004B3C05">
        <w:rPr>
          <w:rFonts w:asciiTheme="majorHAnsi" w:hAnsiTheme="majorHAnsi" w:cstheme="majorHAnsi"/>
          <w:b/>
          <w:bCs/>
        </w:rPr>
        <w:t xml:space="preserve">Integrated Care </w:t>
      </w:r>
      <w:r w:rsidR="00D63816" w:rsidRPr="004B3C05">
        <w:rPr>
          <w:rFonts w:asciiTheme="majorHAnsi" w:hAnsiTheme="majorHAnsi" w:cstheme="majorHAnsi"/>
          <w:b/>
          <w:bCs/>
        </w:rPr>
        <w:t>Boards (</w:t>
      </w:r>
      <w:r w:rsidRPr="004B3C05">
        <w:rPr>
          <w:rFonts w:asciiTheme="majorHAnsi" w:hAnsiTheme="majorHAnsi" w:cstheme="majorHAnsi"/>
          <w:b/>
          <w:bCs/>
        </w:rPr>
        <w:t>ICBs)</w:t>
      </w:r>
      <w:r w:rsidR="004E7E0B">
        <w:rPr>
          <w:rFonts w:asciiTheme="majorHAnsi" w:hAnsiTheme="majorHAnsi" w:cstheme="majorHAnsi"/>
        </w:rPr>
        <w:tab/>
      </w:r>
      <w:r w:rsidRPr="00152F72">
        <w:rPr>
          <w:rFonts w:asciiTheme="majorHAnsi" w:hAnsiTheme="majorHAnsi" w:cstheme="majorHAnsi"/>
        </w:rPr>
        <w:t xml:space="preserve">A statutory NHS organisation which is responsible for developing a plan for meeting the health needs of the population, managing the NHS </w:t>
      </w:r>
      <w:r w:rsidR="00AB2AC6" w:rsidRPr="00152F72">
        <w:rPr>
          <w:rFonts w:asciiTheme="majorHAnsi" w:hAnsiTheme="majorHAnsi" w:cstheme="majorHAnsi"/>
        </w:rPr>
        <w:t>budget,</w:t>
      </w:r>
      <w:r w:rsidRPr="00152F72">
        <w:rPr>
          <w:rFonts w:asciiTheme="majorHAnsi" w:hAnsiTheme="majorHAnsi" w:cstheme="majorHAnsi"/>
        </w:rPr>
        <w:t xml:space="preserve"> and arranging for the provision of health services in a geographical area. Formerly known as a CCG.</w:t>
      </w:r>
    </w:p>
    <w:p w14:paraId="6A70D863" w14:textId="41F99747" w:rsidR="00152F72" w:rsidRPr="00152F72" w:rsidRDefault="00152F72" w:rsidP="00E61DD1">
      <w:pPr>
        <w:spacing w:after="0"/>
        <w:ind w:left="195"/>
        <w:jc w:val="both"/>
        <w:rPr>
          <w:rFonts w:asciiTheme="majorHAnsi" w:hAnsiTheme="majorHAnsi" w:cstheme="majorHAnsi"/>
        </w:rPr>
      </w:pPr>
      <w:r w:rsidRPr="004B3C05">
        <w:rPr>
          <w:rFonts w:asciiTheme="majorHAnsi" w:hAnsiTheme="majorHAnsi" w:cstheme="majorHAnsi"/>
          <w:b/>
          <w:bCs/>
        </w:rPr>
        <w:t xml:space="preserve">Just Culture </w:t>
      </w:r>
      <w:r w:rsidR="00097D03" w:rsidRPr="004B3C05">
        <w:rPr>
          <w:rFonts w:asciiTheme="majorHAnsi" w:hAnsiTheme="majorHAnsi" w:cstheme="majorHAnsi"/>
          <w:b/>
          <w:bCs/>
        </w:rPr>
        <w:tab/>
      </w:r>
      <w:r w:rsidR="00097D03">
        <w:rPr>
          <w:rFonts w:asciiTheme="majorHAnsi" w:hAnsiTheme="majorHAnsi" w:cstheme="majorHAnsi"/>
        </w:rPr>
        <w:tab/>
      </w:r>
      <w:r w:rsidR="00097D03">
        <w:rPr>
          <w:rFonts w:asciiTheme="majorHAnsi" w:hAnsiTheme="majorHAnsi" w:cstheme="majorHAnsi"/>
        </w:rPr>
        <w:tab/>
      </w:r>
      <w:r w:rsidR="004E7E0B">
        <w:rPr>
          <w:rFonts w:asciiTheme="majorHAnsi" w:hAnsiTheme="majorHAnsi" w:cstheme="majorHAnsi"/>
        </w:rPr>
        <w:tab/>
      </w:r>
      <w:r w:rsidR="004E7E0B">
        <w:rPr>
          <w:rFonts w:asciiTheme="majorHAnsi" w:hAnsiTheme="majorHAnsi" w:cstheme="majorHAnsi"/>
        </w:rPr>
        <w:tab/>
      </w:r>
      <w:r w:rsidRPr="00152F72">
        <w:rPr>
          <w:rFonts w:asciiTheme="majorHAnsi" w:hAnsiTheme="majorHAnsi" w:cstheme="majorHAnsi"/>
        </w:rPr>
        <w:t>A culture that balances fairness, learning and accountability.</w:t>
      </w:r>
    </w:p>
    <w:p w14:paraId="68186B4D" w14:textId="13EC1535" w:rsidR="00784963" w:rsidRDefault="00784963" w:rsidP="00E61DD1">
      <w:pPr>
        <w:spacing w:after="0"/>
        <w:ind w:left="4320" w:hanging="4125"/>
        <w:jc w:val="both"/>
        <w:rPr>
          <w:rFonts w:asciiTheme="majorHAnsi" w:hAnsiTheme="majorHAnsi" w:cstheme="majorHAnsi"/>
        </w:rPr>
      </w:pPr>
      <w:r w:rsidRPr="00AB2AC6">
        <w:rPr>
          <w:rFonts w:asciiTheme="majorHAnsi" w:hAnsiTheme="majorHAnsi" w:cstheme="majorHAnsi"/>
          <w:b/>
          <w:bCs/>
        </w:rPr>
        <w:t>Learning from Patient Safety Events</w:t>
      </w:r>
      <w:r>
        <w:rPr>
          <w:rFonts w:asciiTheme="majorHAnsi" w:hAnsiTheme="majorHAnsi" w:cstheme="majorHAnsi"/>
        </w:rPr>
        <w:tab/>
      </w:r>
      <w:r w:rsidR="000876B8">
        <w:rPr>
          <w:rFonts w:asciiTheme="majorHAnsi" w:hAnsiTheme="majorHAnsi" w:cstheme="majorHAnsi"/>
        </w:rPr>
        <w:t>N</w:t>
      </w:r>
      <w:r w:rsidR="000876B8" w:rsidRPr="000876B8">
        <w:rPr>
          <w:rFonts w:asciiTheme="majorHAnsi" w:hAnsiTheme="majorHAnsi" w:cstheme="majorHAnsi"/>
        </w:rPr>
        <w:t>ational NHS service for the recording and analysis of patient safety events that occur in healthcare</w:t>
      </w:r>
      <w:r w:rsidR="000876B8">
        <w:rPr>
          <w:rFonts w:asciiTheme="majorHAnsi" w:hAnsiTheme="majorHAnsi" w:cstheme="majorHAnsi"/>
        </w:rPr>
        <w:t>.</w:t>
      </w:r>
    </w:p>
    <w:p w14:paraId="7C5313E4" w14:textId="3CAA30A1" w:rsidR="00152F72" w:rsidRPr="00152F72" w:rsidRDefault="00152F72" w:rsidP="00E61DD1">
      <w:pPr>
        <w:spacing w:after="0"/>
        <w:ind w:left="4320" w:hanging="4125"/>
        <w:jc w:val="both"/>
        <w:rPr>
          <w:rFonts w:asciiTheme="majorHAnsi" w:hAnsiTheme="majorHAnsi" w:cstheme="majorHAnsi"/>
        </w:rPr>
      </w:pPr>
      <w:r w:rsidRPr="00AB2AC6">
        <w:rPr>
          <w:rFonts w:asciiTheme="majorHAnsi" w:hAnsiTheme="majorHAnsi" w:cstheme="majorHAnsi"/>
          <w:b/>
          <w:bCs/>
        </w:rPr>
        <w:t>Learning Response</w:t>
      </w:r>
      <w:r w:rsidRPr="00152F72">
        <w:rPr>
          <w:rFonts w:asciiTheme="majorHAnsi" w:hAnsiTheme="majorHAnsi" w:cstheme="majorHAnsi"/>
        </w:rPr>
        <w:t xml:space="preserve"> </w:t>
      </w:r>
      <w:r w:rsidR="00097D03">
        <w:rPr>
          <w:rFonts w:asciiTheme="majorHAnsi" w:hAnsiTheme="majorHAnsi" w:cstheme="majorHAnsi"/>
        </w:rPr>
        <w:tab/>
      </w:r>
      <w:r w:rsidRPr="00152F72">
        <w:rPr>
          <w:rFonts w:asciiTheme="majorHAnsi" w:hAnsiTheme="majorHAnsi" w:cstheme="majorHAnsi"/>
        </w:rPr>
        <w:t>Any response to a patient Safety incident that incorporates a system-based approach to capturing learning to inform safety actions for improvement. The system here is the ‘Work System’ (see below).</w:t>
      </w:r>
    </w:p>
    <w:p w14:paraId="5F1BFB66" w14:textId="181AD4F4" w:rsidR="00152F72" w:rsidRPr="00152F72" w:rsidRDefault="00152F72" w:rsidP="00E61DD1">
      <w:pPr>
        <w:spacing w:after="0"/>
        <w:ind w:left="4320" w:hanging="4125"/>
        <w:jc w:val="both"/>
        <w:rPr>
          <w:rFonts w:asciiTheme="majorHAnsi" w:hAnsiTheme="majorHAnsi" w:cstheme="majorHAnsi"/>
        </w:rPr>
      </w:pPr>
      <w:r w:rsidRPr="00AB2AC6">
        <w:rPr>
          <w:rFonts w:asciiTheme="majorHAnsi" w:hAnsiTheme="majorHAnsi" w:cstheme="majorHAnsi"/>
          <w:b/>
          <w:bCs/>
        </w:rPr>
        <w:t>Patient Safety Incident</w:t>
      </w:r>
      <w:r w:rsidR="00097D03" w:rsidRPr="00AB2AC6">
        <w:rPr>
          <w:rFonts w:asciiTheme="majorHAnsi" w:hAnsiTheme="majorHAnsi" w:cstheme="majorHAnsi"/>
          <w:b/>
          <w:bCs/>
        </w:rPr>
        <w:t xml:space="preserve"> </w:t>
      </w:r>
      <w:r w:rsidRPr="00AB2AC6">
        <w:rPr>
          <w:rFonts w:asciiTheme="majorHAnsi" w:hAnsiTheme="majorHAnsi" w:cstheme="majorHAnsi"/>
          <w:b/>
          <w:bCs/>
        </w:rPr>
        <w:t>(PSI)</w:t>
      </w:r>
      <w:r w:rsidR="00097D03">
        <w:rPr>
          <w:rFonts w:asciiTheme="majorHAnsi" w:hAnsiTheme="majorHAnsi" w:cstheme="majorHAnsi"/>
        </w:rPr>
        <w:tab/>
      </w:r>
      <w:r w:rsidRPr="00152F72">
        <w:rPr>
          <w:rFonts w:asciiTheme="majorHAnsi" w:hAnsiTheme="majorHAnsi" w:cstheme="majorHAnsi"/>
        </w:rPr>
        <w:t>Something unexpected or unintended has happened, or failed to happen, that could have or did lead to patient harm.</w:t>
      </w:r>
    </w:p>
    <w:p w14:paraId="3FC06E88" w14:textId="0C146DB0" w:rsidR="00152F72" w:rsidRPr="00152F72" w:rsidRDefault="00152F72" w:rsidP="00E61DD1">
      <w:pPr>
        <w:spacing w:after="0"/>
        <w:ind w:left="4320" w:hanging="4125"/>
        <w:jc w:val="both"/>
        <w:rPr>
          <w:rFonts w:asciiTheme="majorHAnsi" w:hAnsiTheme="majorHAnsi" w:cstheme="majorHAnsi"/>
        </w:rPr>
      </w:pPr>
      <w:r w:rsidRPr="00AB2AC6">
        <w:rPr>
          <w:rFonts w:asciiTheme="majorHAnsi" w:hAnsiTheme="majorHAnsi" w:cstheme="majorHAnsi"/>
          <w:b/>
          <w:bCs/>
        </w:rPr>
        <w:t xml:space="preserve">Patient Safety Incident </w:t>
      </w:r>
      <w:r w:rsidR="00A060DD" w:rsidRPr="00AB2AC6">
        <w:rPr>
          <w:rFonts w:asciiTheme="majorHAnsi" w:hAnsiTheme="majorHAnsi" w:cstheme="majorHAnsi"/>
          <w:b/>
          <w:bCs/>
        </w:rPr>
        <w:t xml:space="preserve">Investigation </w:t>
      </w:r>
      <w:r w:rsidRPr="00AB2AC6">
        <w:rPr>
          <w:rFonts w:asciiTheme="majorHAnsi" w:hAnsiTheme="majorHAnsi" w:cstheme="majorHAnsi"/>
          <w:b/>
          <w:bCs/>
        </w:rPr>
        <w:t>(PSII)</w:t>
      </w:r>
      <w:r w:rsidR="00097D03">
        <w:rPr>
          <w:rFonts w:asciiTheme="majorHAnsi" w:hAnsiTheme="majorHAnsi" w:cstheme="majorHAnsi"/>
        </w:rPr>
        <w:tab/>
      </w:r>
      <w:r w:rsidRPr="00152F72">
        <w:rPr>
          <w:rFonts w:asciiTheme="majorHAnsi" w:hAnsiTheme="majorHAnsi" w:cstheme="majorHAnsi"/>
        </w:rPr>
        <w:t>A PSII is undertaken when an adverse event or near-miss indicates significant patient safety risks and the potential for new learning.</w:t>
      </w:r>
    </w:p>
    <w:p w14:paraId="0F05F119" w14:textId="41AA7E88" w:rsidR="00152F72" w:rsidRPr="00152F72" w:rsidRDefault="00152F72" w:rsidP="00E61DD1">
      <w:pPr>
        <w:spacing w:after="0"/>
        <w:ind w:left="4320" w:hanging="4125"/>
        <w:jc w:val="both"/>
        <w:rPr>
          <w:rFonts w:asciiTheme="majorHAnsi" w:hAnsiTheme="majorHAnsi" w:cstheme="majorHAnsi"/>
        </w:rPr>
      </w:pPr>
      <w:r w:rsidRPr="00AB2AC6">
        <w:rPr>
          <w:rFonts w:asciiTheme="majorHAnsi" w:hAnsiTheme="majorHAnsi" w:cstheme="majorHAnsi"/>
          <w:b/>
          <w:bCs/>
        </w:rPr>
        <w:t>Psychological Safety</w:t>
      </w:r>
      <w:r w:rsidRPr="00152F72">
        <w:rPr>
          <w:rFonts w:asciiTheme="majorHAnsi" w:hAnsiTheme="majorHAnsi" w:cstheme="majorHAnsi"/>
        </w:rPr>
        <w:t xml:space="preserve"> </w:t>
      </w:r>
      <w:r w:rsidR="004E7E0B">
        <w:rPr>
          <w:rFonts w:asciiTheme="majorHAnsi" w:hAnsiTheme="majorHAnsi" w:cstheme="majorHAnsi"/>
        </w:rPr>
        <w:tab/>
      </w:r>
      <w:r w:rsidRPr="00152F72">
        <w:rPr>
          <w:rFonts w:asciiTheme="majorHAnsi" w:hAnsiTheme="majorHAnsi" w:cstheme="majorHAnsi"/>
        </w:rPr>
        <w:t>An environment characterised by openness and trust that allows team members to feel comfortable taking risks and making mistakes.</w:t>
      </w:r>
    </w:p>
    <w:p w14:paraId="7E9013EE" w14:textId="058AA08B" w:rsidR="00152F72" w:rsidRPr="00152F72" w:rsidRDefault="00152F72" w:rsidP="00E61DD1">
      <w:pPr>
        <w:spacing w:after="0"/>
        <w:ind w:left="4320" w:hanging="4125"/>
        <w:jc w:val="both"/>
        <w:rPr>
          <w:rFonts w:asciiTheme="majorHAnsi" w:hAnsiTheme="majorHAnsi" w:cstheme="majorHAnsi"/>
        </w:rPr>
      </w:pPr>
      <w:r w:rsidRPr="00AB2AC6">
        <w:rPr>
          <w:rFonts w:asciiTheme="majorHAnsi" w:hAnsiTheme="majorHAnsi" w:cstheme="majorHAnsi"/>
          <w:b/>
          <w:bCs/>
        </w:rPr>
        <w:t>Safety Actions</w:t>
      </w:r>
      <w:r w:rsidRPr="00152F72">
        <w:rPr>
          <w:rFonts w:asciiTheme="majorHAnsi" w:hAnsiTheme="majorHAnsi" w:cstheme="majorHAnsi"/>
        </w:rPr>
        <w:t xml:space="preserve"> </w:t>
      </w:r>
      <w:r w:rsidR="004E7E0B">
        <w:rPr>
          <w:rFonts w:asciiTheme="majorHAnsi" w:hAnsiTheme="majorHAnsi" w:cstheme="majorHAnsi"/>
        </w:rPr>
        <w:tab/>
      </w:r>
      <w:r w:rsidRPr="00152F72">
        <w:rPr>
          <w:rFonts w:asciiTheme="majorHAnsi" w:hAnsiTheme="majorHAnsi" w:cstheme="majorHAnsi"/>
        </w:rPr>
        <w:t>Actions to reduce risk following the identification and agreement of the aspects of a work system (see below) where change could reduce risk and the potential for harm.</w:t>
      </w:r>
    </w:p>
    <w:p w14:paraId="0F39AE23" w14:textId="681175BF" w:rsidR="00BF7136" w:rsidRDefault="00152F72" w:rsidP="00E61DD1">
      <w:pPr>
        <w:spacing w:after="0"/>
        <w:ind w:left="4320" w:hanging="4125"/>
        <w:jc w:val="both"/>
        <w:rPr>
          <w:rFonts w:asciiTheme="majorHAnsi" w:hAnsiTheme="majorHAnsi" w:cstheme="majorHAnsi"/>
        </w:rPr>
      </w:pPr>
      <w:r w:rsidRPr="00AB2AC6">
        <w:rPr>
          <w:rFonts w:asciiTheme="majorHAnsi" w:hAnsiTheme="majorHAnsi" w:cstheme="majorHAnsi"/>
          <w:b/>
          <w:bCs/>
        </w:rPr>
        <w:t>Swarm Huddle</w:t>
      </w:r>
      <w:r w:rsidR="004E7E0B">
        <w:rPr>
          <w:rFonts w:asciiTheme="majorHAnsi" w:hAnsiTheme="majorHAnsi" w:cstheme="majorHAnsi"/>
        </w:rPr>
        <w:tab/>
      </w:r>
      <w:r w:rsidRPr="00152F72">
        <w:rPr>
          <w:rFonts w:asciiTheme="majorHAnsi" w:hAnsiTheme="majorHAnsi" w:cstheme="majorHAnsi"/>
        </w:rPr>
        <w:t xml:space="preserve">A quick analysis occurring immediately (or within 24 hrs) of an incident to understand what happened, how it happened and what needs to be done to reduce the risk of it happening again. Includes all those involved in the incident ‘swarming’ </w:t>
      </w:r>
      <w:r w:rsidR="00AB2AC6" w:rsidRPr="00152F72">
        <w:rPr>
          <w:rFonts w:asciiTheme="majorHAnsi" w:hAnsiTheme="majorHAnsi" w:cstheme="majorHAnsi"/>
        </w:rPr>
        <w:t>together.</w:t>
      </w:r>
    </w:p>
    <w:p w14:paraId="2024A86A" w14:textId="36EBE75A" w:rsidR="000269E6" w:rsidRPr="00AB2AC6" w:rsidRDefault="00AB2AC6" w:rsidP="00AB2AC6">
      <w:pPr>
        <w:pStyle w:val="Heading1"/>
        <w:rPr>
          <w:caps w:val="0"/>
          <w:color w:val="008385"/>
        </w:rPr>
      </w:pPr>
      <w:bookmarkStart w:id="57" w:name="_Toc159429872"/>
      <w:r w:rsidRPr="00AB2AC6">
        <w:rPr>
          <w:caps w:val="0"/>
          <w:color w:val="008385"/>
        </w:rPr>
        <w:lastRenderedPageBreak/>
        <w:t>APPENDICES</w:t>
      </w:r>
      <w:bookmarkEnd w:id="57"/>
    </w:p>
    <w:p w14:paraId="395DB6EF" w14:textId="77777777" w:rsidR="000269E6" w:rsidRPr="008A7121" w:rsidRDefault="000269E6" w:rsidP="00E61DD1">
      <w:pPr>
        <w:spacing w:after="0"/>
      </w:pPr>
    </w:p>
    <w:p w14:paraId="5B3FD327" w14:textId="438B8A09" w:rsidR="000269E6" w:rsidRPr="008A7121" w:rsidRDefault="000269E6" w:rsidP="00084335">
      <w:pPr>
        <w:pStyle w:val="Heading1"/>
        <w:numPr>
          <w:ilvl w:val="0"/>
          <w:numId w:val="0"/>
        </w:numPr>
        <w:ind w:left="762" w:hanging="567"/>
        <w:rPr>
          <w:b w:val="0"/>
          <w:bCs w:val="0"/>
          <w:sz w:val="22"/>
          <w:szCs w:val="22"/>
        </w:rPr>
      </w:pPr>
      <w:bookmarkStart w:id="58" w:name="_Toc148650903"/>
      <w:bookmarkStart w:id="59" w:name="_Toc155773709"/>
      <w:bookmarkStart w:id="60" w:name="_Toc159429873"/>
      <w:r w:rsidRPr="008A7121">
        <w:rPr>
          <w:b w:val="0"/>
          <w:bCs w:val="0"/>
          <w:sz w:val="22"/>
          <w:szCs w:val="22"/>
        </w:rPr>
        <w:t>Appendix</w:t>
      </w:r>
      <w:r w:rsidR="00084335">
        <w:rPr>
          <w:b w:val="0"/>
          <w:bCs w:val="0"/>
          <w:sz w:val="22"/>
          <w:szCs w:val="22"/>
        </w:rPr>
        <w:t xml:space="preserve"> 1</w:t>
      </w:r>
      <w:r w:rsidRPr="008A7121">
        <w:rPr>
          <w:b w:val="0"/>
          <w:bCs w:val="0"/>
          <w:sz w:val="22"/>
          <w:szCs w:val="22"/>
        </w:rPr>
        <w:t xml:space="preserve"> </w:t>
      </w:r>
      <w:r w:rsidR="00B7188C" w:rsidRPr="008A7121">
        <w:rPr>
          <w:b w:val="0"/>
          <w:bCs w:val="0"/>
          <w:sz w:val="22"/>
          <w:szCs w:val="22"/>
        </w:rPr>
        <w:t>-</w:t>
      </w:r>
      <w:r w:rsidRPr="008A7121">
        <w:rPr>
          <w:b w:val="0"/>
          <w:bCs w:val="0"/>
          <w:sz w:val="22"/>
          <w:szCs w:val="22"/>
        </w:rPr>
        <w:t xml:space="preserve"> </w:t>
      </w:r>
      <w:bookmarkEnd w:id="58"/>
      <w:r w:rsidR="00F555C4" w:rsidRPr="008A7121">
        <w:rPr>
          <w:b w:val="0"/>
          <w:bCs w:val="0"/>
          <w:sz w:val="22"/>
          <w:szCs w:val="22"/>
        </w:rPr>
        <w:t>PSIRF Plan</w:t>
      </w:r>
      <w:bookmarkEnd w:id="59"/>
      <w:bookmarkEnd w:id="60"/>
    </w:p>
    <w:p w14:paraId="1E9A5656" w14:textId="21B7E653" w:rsidR="00F555C4" w:rsidRPr="008A7121" w:rsidRDefault="00F555C4" w:rsidP="00084335">
      <w:pPr>
        <w:pStyle w:val="Heading1"/>
        <w:numPr>
          <w:ilvl w:val="0"/>
          <w:numId w:val="0"/>
        </w:numPr>
        <w:ind w:left="762" w:hanging="567"/>
        <w:rPr>
          <w:b w:val="0"/>
          <w:bCs w:val="0"/>
          <w:sz w:val="22"/>
          <w:szCs w:val="22"/>
        </w:rPr>
      </w:pPr>
      <w:bookmarkStart w:id="61" w:name="_Toc155773710"/>
      <w:bookmarkStart w:id="62" w:name="_Toc159429874"/>
      <w:r w:rsidRPr="008A7121">
        <w:rPr>
          <w:b w:val="0"/>
          <w:bCs w:val="0"/>
          <w:sz w:val="22"/>
          <w:szCs w:val="22"/>
        </w:rPr>
        <w:t>APPENDIX</w:t>
      </w:r>
      <w:r w:rsidR="00084335">
        <w:rPr>
          <w:b w:val="0"/>
          <w:bCs w:val="0"/>
          <w:sz w:val="22"/>
          <w:szCs w:val="22"/>
        </w:rPr>
        <w:t xml:space="preserve"> 2</w:t>
      </w:r>
      <w:r w:rsidRPr="008A7121">
        <w:rPr>
          <w:b w:val="0"/>
          <w:bCs w:val="0"/>
          <w:sz w:val="22"/>
          <w:szCs w:val="22"/>
        </w:rPr>
        <w:t xml:space="preserve"> </w:t>
      </w:r>
      <w:r w:rsidR="00B7188C" w:rsidRPr="008A7121">
        <w:rPr>
          <w:b w:val="0"/>
          <w:bCs w:val="0"/>
          <w:sz w:val="22"/>
          <w:szCs w:val="22"/>
        </w:rPr>
        <w:t>-</w:t>
      </w:r>
      <w:r w:rsidRPr="008A7121">
        <w:rPr>
          <w:b w:val="0"/>
          <w:bCs w:val="0"/>
          <w:sz w:val="22"/>
          <w:szCs w:val="22"/>
        </w:rPr>
        <w:t xml:space="preserve"> PSIR Template</w:t>
      </w:r>
      <w:bookmarkEnd w:id="61"/>
      <w:bookmarkEnd w:id="62"/>
    </w:p>
    <w:p w14:paraId="3A946153" w14:textId="5E462FA7" w:rsidR="000269E6" w:rsidRPr="008A7121" w:rsidRDefault="000269E6" w:rsidP="00084335">
      <w:pPr>
        <w:pStyle w:val="Heading1"/>
        <w:numPr>
          <w:ilvl w:val="0"/>
          <w:numId w:val="0"/>
        </w:numPr>
        <w:ind w:left="762" w:hanging="567"/>
        <w:rPr>
          <w:b w:val="0"/>
          <w:bCs w:val="0"/>
          <w:sz w:val="22"/>
          <w:szCs w:val="22"/>
        </w:rPr>
      </w:pPr>
      <w:bookmarkStart w:id="63" w:name="_Toc148650904"/>
      <w:bookmarkStart w:id="64" w:name="_Toc155773711"/>
      <w:bookmarkStart w:id="65" w:name="_Toc159429875"/>
      <w:r w:rsidRPr="008A7121">
        <w:rPr>
          <w:b w:val="0"/>
          <w:bCs w:val="0"/>
          <w:sz w:val="22"/>
          <w:szCs w:val="22"/>
        </w:rPr>
        <w:t xml:space="preserve">Appendix </w:t>
      </w:r>
      <w:r w:rsidR="00F326B2">
        <w:rPr>
          <w:b w:val="0"/>
          <w:bCs w:val="0"/>
          <w:sz w:val="22"/>
          <w:szCs w:val="22"/>
        </w:rPr>
        <w:t xml:space="preserve">3 </w:t>
      </w:r>
      <w:r w:rsidRPr="008A7121">
        <w:rPr>
          <w:b w:val="0"/>
          <w:bCs w:val="0"/>
          <w:sz w:val="22"/>
          <w:szCs w:val="22"/>
        </w:rPr>
        <w:t>- PSII TEMPLATE</w:t>
      </w:r>
      <w:bookmarkEnd w:id="63"/>
      <w:bookmarkEnd w:id="64"/>
      <w:bookmarkEnd w:id="65"/>
    </w:p>
    <w:p w14:paraId="52AE4BFC" w14:textId="0085B628" w:rsidR="00631AAC" w:rsidRPr="008A7121" w:rsidRDefault="00631AAC" w:rsidP="008E3B52">
      <w:pPr>
        <w:pStyle w:val="Heading1"/>
        <w:numPr>
          <w:ilvl w:val="0"/>
          <w:numId w:val="0"/>
        </w:numPr>
        <w:ind w:left="762" w:hanging="567"/>
        <w:rPr>
          <w:b w:val="0"/>
          <w:bCs w:val="0"/>
          <w:sz w:val="22"/>
          <w:szCs w:val="22"/>
        </w:rPr>
      </w:pPr>
      <w:bookmarkStart w:id="66" w:name="_Toc148650906"/>
      <w:bookmarkStart w:id="67" w:name="_Toc155773712"/>
      <w:bookmarkStart w:id="68" w:name="_Toc159429876"/>
      <w:r w:rsidRPr="008A7121">
        <w:rPr>
          <w:b w:val="0"/>
          <w:bCs w:val="0"/>
          <w:sz w:val="22"/>
          <w:szCs w:val="22"/>
        </w:rPr>
        <w:t xml:space="preserve">Appendix </w:t>
      </w:r>
      <w:r w:rsidR="00F326B2">
        <w:rPr>
          <w:b w:val="0"/>
          <w:bCs w:val="0"/>
          <w:sz w:val="22"/>
          <w:szCs w:val="22"/>
        </w:rPr>
        <w:t xml:space="preserve">4 </w:t>
      </w:r>
      <w:r w:rsidRPr="008A7121">
        <w:rPr>
          <w:b w:val="0"/>
          <w:bCs w:val="0"/>
          <w:sz w:val="22"/>
          <w:szCs w:val="22"/>
        </w:rPr>
        <w:t>- PSII TEMPLATE INC GUIDANCE</w:t>
      </w:r>
      <w:bookmarkEnd w:id="66"/>
      <w:bookmarkEnd w:id="67"/>
      <w:bookmarkEnd w:id="68"/>
    </w:p>
    <w:p w14:paraId="6966850B" w14:textId="233B9BC7" w:rsidR="000269E6" w:rsidRPr="008A7121" w:rsidRDefault="000269E6" w:rsidP="008E3B52">
      <w:pPr>
        <w:pStyle w:val="Heading1"/>
        <w:numPr>
          <w:ilvl w:val="0"/>
          <w:numId w:val="0"/>
        </w:numPr>
        <w:ind w:left="762" w:hanging="567"/>
        <w:rPr>
          <w:b w:val="0"/>
          <w:bCs w:val="0"/>
          <w:sz w:val="22"/>
          <w:szCs w:val="22"/>
        </w:rPr>
      </w:pPr>
      <w:bookmarkStart w:id="69" w:name="_Toc148650905"/>
      <w:bookmarkStart w:id="70" w:name="_Toc155773713"/>
      <w:bookmarkStart w:id="71" w:name="_Toc159429877"/>
      <w:r w:rsidRPr="008A7121">
        <w:rPr>
          <w:b w:val="0"/>
          <w:bCs w:val="0"/>
          <w:sz w:val="22"/>
          <w:szCs w:val="22"/>
        </w:rPr>
        <w:t xml:space="preserve">Appendix </w:t>
      </w:r>
      <w:r w:rsidR="00F326B2">
        <w:rPr>
          <w:b w:val="0"/>
          <w:bCs w:val="0"/>
          <w:sz w:val="22"/>
          <w:szCs w:val="22"/>
        </w:rPr>
        <w:t xml:space="preserve">5 </w:t>
      </w:r>
      <w:r w:rsidRPr="008A7121">
        <w:rPr>
          <w:b w:val="0"/>
          <w:bCs w:val="0"/>
          <w:sz w:val="22"/>
          <w:szCs w:val="22"/>
        </w:rPr>
        <w:t>- PSII TOR</w:t>
      </w:r>
      <w:bookmarkEnd w:id="69"/>
      <w:bookmarkEnd w:id="70"/>
      <w:bookmarkEnd w:id="71"/>
    </w:p>
    <w:p w14:paraId="43594F25" w14:textId="1E4C34FD" w:rsidR="000269E6" w:rsidRPr="008A7121" w:rsidRDefault="000269E6" w:rsidP="008E3B52">
      <w:pPr>
        <w:pStyle w:val="Heading1"/>
        <w:numPr>
          <w:ilvl w:val="0"/>
          <w:numId w:val="0"/>
        </w:numPr>
        <w:ind w:left="762" w:hanging="567"/>
        <w:rPr>
          <w:b w:val="0"/>
          <w:bCs w:val="0"/>
          <w:sz w:val="22"/>
          <w:szCs w:val="22"/>
        </w:rPr>
      </w:pPr>
      <w:bookmarkStart w:id="72" w:name="_Toc148650907"/>
      <w:bookmarkStart w:id="73" w:name="_Toc155773714"/>
      <w:bookmarkStart w:id="74" w:name="_Toc159429878"/>
      <w:r w:rsidRPr="008A7121">
        <w:rPr>
          <w:b w:val="0"/>
          <w:bCs w:val="0"/>
          <w:sz w:val="22"/>
          <w:szCs w:val="22"/>
        </w:rPr>
        <w:t xml:space="preserve">Appendix </w:t>
      </w:r>
      <w:r w:rsidR="00F326B2">
        <w:rPr>
          <w:b w:val="0"/>
          <w:bCs w:val="0"/>
          <w:sz w:val="22"/>
          <w:szCs w:val="22"/>
        </w:rPr>
        <w:t xml:space="preserve">6 </w:t>
      </w:r>
      <w:r w:rsidRPr="008A7121">
        <w:rPr>
          <w:b w:val="0"/>
          <w:bCs w:val="0"/>
          <w:sz w:val="22"/>
          <w:szCs w:val="22"/>
        </w:rPr>
        <w:t>- AFTER ACTION REVIEW TEMPLATE</w:t>
      </w:r>
      <w:bookmarkEnd w:id="72"/>
      <w:bookmarkEnd w:id="73"/>
      <w:bookmarkEnd w:id="74"/>
    </w:p>
    <w:p w14:paraId="543E294A" w14:textId="5A754892" w:rsidR="000269E6" w:rsidRPr="008A7121" w:rsidRDefault="000269E6" w:rsidP="008E3B52">
      <w:pPr>
        <w:pStyle w:val="Heading1"/>
        <w:numPr>
          <w:ilvl w:val="0"/>
          <w:numId w:val="0"/>
        </w:numPr>
        <w:ind w:left="762" w:hanging="567"/>
        <w:rPr>
          <w:b w:val="0"/>
          <w:bCs w:val="0"/>
          <w:sz w:val="22"/>
          <w:szCs w:val="22"/>
        </w:rPr>
      </w:pPr>
      <w:bookmarkStart w:id="75" w:name="_Toc148650908"/>
      <w:bookmarkStart w:id="76" w:name="_Toc155773715"/>
      <w:bookmarkStart w:id="77" w:name="_Toc159429879"/>
      <w:r w:rsidRPr="008A7121">
        <w:rPr>
          <w:b w:val="0"/>
          <w:bCs w:val="0"/>
          <w:sz w:val="22"/>
          <w:szCs w:val="22"/>
        </w:rPr>
        <w:t xml:space="preserve">Appendix </w:t>
      </w:r>
      <w:r w:rsidR="00F326B2">
        <w:rPr>
          <w:b w:val="0"/>
          <w:bCs w:val="0"/>
          <w:sz w:val="22"/>
          <w:szCs w:val="22"/>
        </w:rPr>
        <w:t xml:space="preserve">7 </w:t>
      </w:r>
      <w:r w:rsidRPr="008A7121">
        <w:rPr>
          <w:b w:val="0"/>
          <w:bCs w:val="0"/>
          <w:sz w:val="22"/>
          <w:szCs w:val="22"/>
        </w:rPr>
        <w:t>- ROUND TABLE REVIEW TEMPLATE</w:t>
      </w:r>
      <w:bookmarkEnd w:id="75"/>
      <w:bookmarkEnd w:id="76"/>
      <w:bookmarkEnd w:id="77"/>
    </w:p>
    <w:p w14:paraId="6FC2D678" w14:textId="768DF667" w:rsidR="000269E6" w:rsidRPr="008A7121" w:rsidRDefault="000269E6" w:rsidP="00B647A5">
      <w:pPr>
        <w:pStyle w:val="Heading1"/>
        <w:numPr>
          <w:ilvl w:val="0"/>
          <w:numId w:val="0"/>
        </w:numPr>
        <w:ind w:left="762" w:hanging="567"/>
        <w:rPr>
          <w:b w:val="0"/>
          <w:bCs w:val="0"/>
          <w:sz w:val="22"/>
          <w:szCs w:val="22"/>
        </w:rPr>
      </w:pPr>
      <w:bookmarkStart w:id="78" w:name="_Toc148650909"/>
      <w:bookmarkStart w:id="79" w:name="_Toc155773716"/>
      <w:bookmarkStart w:id="80" w:name="_Toc159429880"/>
      <w:r w:rsidRPr="008A7121">
        <w:rPr>
          <w:b w:val="0"/>
          <w:bCs w:val="0"/>
          <w:sz w:val="22"/>
          <w:szCs w:val="22"/>
        </w:rPr>
        <w:t xml:space="preserve">Appendix </w:t>
      </w:r>
      <w:r w:rsidR="00F326B2">
        <w:rPr>
          <w:b w:val="0"/>
          <w:bCs w:val="0"/>
          <w:sz w:val="22"/>
          <w:szCs w:val="22"/>
        </w:rPr>
        <w:t xml:space="preserve">8 </w:t>
      </w:r>
      <w:r w:rsidRPr="008A7121">
        <w:rPr>
          <w:b w:val="0"/>
          <w:bCs w:val="0"/>
          <w:sz w:val="22"/>
          <w:szCs w:val="22"/>
        </w:rPr>
        <w:t>- ROUND TABLE REVIEW GUIDANCE</w:t>
      </w:r>
      <w:bookmarkEnd w:id="78"/>
      <w:bookmarkEnd w:id="79"/>
      <w:bookmarkEnd w:id="80"/>
    </w:p>
    <w:p w14:paraId="20AAAA96" w14:textId="18C278A3" w:rsidR="000269E6" w:rsidRPr="008A7121" w:rsidRDefault="000269E6" w:rsidP="00B647A5">
      <w:pPr>
        <w:pStyle w:val="Heading1"/>
        <w:numPr>
          <w:ilvl w:val="0"/>
          <w:numId w:val="0"/>
        </w:numPr>
        <w:ind w:left="762" w:hanging="567"/>
        <w:rPr>
          <w:b w:val="0"/>
          <w:bCs w:val="0"/>
          <w:sz w:val="22"/>
          <w:szCs w:val="22"/>
        </w:rPr>
      </w:pPr>
      <w:bookmarkStart w:id="81" w:name="_Toc148650910"/>
      <w:bookmarkStart w:id="82" w:name="_Toc155773717"/>
      <w:bookmarkStart w:id="83" w:name="_Toc159429881"/>
      <w:r w:rsidRPr="008A7121">
        <w:rPr>
          <w:b w:val="0"/>
          <w:bCs w:val="0"/>
          <w:sz w:val="22"/>
          <w:szCs w:val="22"/>
        </w:rPr>
        <w:t xml:space="preserve">Appendix </w:t>
      </w:r>
      <w:r w:rsidR="00F326B2">
        <w:rPr>
          <w:b w:val="0"/>
          <w:bCs w:val="0"/>
          <w:sz w:val="22"/>
          <w:szCs w:val="22"/>
        </w:rPr>
        <w:t xml:space="preserve">9 </w:t>
      </w:r>
      <w:r w:rsidRPr="008A7121">
        <w:rPr>
          <w:b w:val="0"/>
          <w:bCs w:val="0"/>
          <w:sz w:val="22"/>
          <w:szCs w:val="22"/>
        </w:rPr>
        <w:t>- SWARM HUDDLE TEMPLATE</w:t>
      </w:r>
      <w:bookmarkEnd w:id="81"/>
      <w:bookmarkEnd w:id="82"/>
      <w:bookmarkEnd w:id="83"/>
    </w:p>
    <w:p w14:paraId="4E5F1309" w14:textId="5D4B863F" w:rsidR="000269E6" w:rsidRPr="008A7121" w:rsidRDefault="000269E6" w:rsidP="00B647A5">
      <w:pPr>
        <w:pStyle w:val="Heading1"/>
        <w:numPr>
          <w:ilvl w:val="0"/>
          <w:numId w:val="0"/>
        </w:numPr>
        <w:ind w:left="762" w:hanging="567"/>
        <w:rPr>
          <w:b w:val="0"/>
          <w:bCs w:val="0"/>
          <w:sz w:val="22"/>
          <w:szCs w:val="22"/>
        </w:rPr>
      </w:pPr>
      <w:bookmarkStart w:id="84" w:name="_Toc148650911"/>
      <w:bookmarkStart w:id="85" w:name="_Toc155773718"/>
      <w:bookmarkStart w:id="86" w:name="_Toc159429882"/>
      <w:r w:rsidRPr="008A7121">
        <w:rPr>
          <w:b w:val="0"/>
          <w:bCs w:val="0"/>
          <w:sz w:val="22"/>
          <w:szCs w:val="22"/>
        </w:rPr>
        <w:t xml:space="preserve">Appendix </w:t>
      </w:r>
      <w:r w:rsidR="00F326B2">
        <w:rPr>
          <w:b w:val="0"/>
          <w:bCs w:val="0"/>
          <w:sz w:val="22"/>
          <w:szCs w:val="22"/>
        </w:rPr>
        <w:t xml:space="preserve">10 </w:t>
      </w:r>
      <w:r w:rsidRPr="008A7121">
        <w:rPr>
          <w:b w:val="0"/>
          <w:bCs w:val="0"/>
          <w:sz w:val="22"/>
          <w:szCs w:val="22"/>
        </w:rPr>
        <w:t>- KSI REVIEW MEETING TOR</w:t>
      </w:r>
      <w:bookmarkEnd w:id="84"/>
      <w:bookmarkEnd w:id="85"/>
      <w:bookmarkEnd w:id="86"/>
    </w:p>
    <w:p w14:paraId="306A123E" w14:textId="4111BA57" w:rsidR="000269E6" w:rsidRPr="008A7121" w:rsidRDefault="000269E6" w:rsidP="00B647A5">
      <w:pPr>
        <w:pStyle w:val="Heading1"/>
        <w:numPr>
          <w:ilvl w:val="0"/>
          <w:numId w:val="0"/>
        </w:numPr>
        <w:ind w:left="762" w:hanging="567"/>
        <w:rPr>
          <w:b w:val="0"/>
          <w:bCs w:val="0"/>
          <w:sz w:val="22"/>
          <w:szCs w:val="22"/>
        </w:rPr>
      </w:pPr>
      <w:bookmarkStart w:id="87" w:name="_Toc148650912"/>
      <w:bookmarkStart w:id="88" w:name="_Toc155773719"/>
      <w:bookmarkStart w:id="89" w:name="_Toc159429883"/>
      <w:r w:rsidRPr="008A7121">
        <w:rPr>
          <w:b w:val="0"/>
          <w:bCs w:val="0"/>
          <w:sz w:val="22"/>
          <w:szCs w:val="22"/>
        </w:rPr>
        <w:t xml:space="preserve">Appendix </w:t>
      </w:r>
      <w:r w:rsidR="00F326B2">
        <w:rPr>
          <w:b w:val="0"/>
          <w:bCs w:val="0"/>
          <w:sz w:val="22"/>
          <w:szCs w:val="22"/>
        </w:rPr>
        <w:t xml:space="preserve">11 </w:t>
      </w:r>
      <w:r w:rsidRPr="008A7121">
        <w:rPr>
          <w:b w:val="0"/>
          <w:bCs w:val="0"/>
          <w:sz w:val="22"/>
          <w:szCs w:val="22"/>
        </w:rPr>
        <w:t>- KSI REVIEW MEETING TEMPLATE</w:t>
      </w:r>
      <w:bookmarkEnd w:id="87"/>
      <w:bookmarkEnd w:id="88"/>
      <w:bookmarkEnd w:id="89"/>
    </w:p>
    <w:p w14:paraId="704AA36C" w14:textId="717BDF70" w:rsidR="000269E6" w:rsidRPr="008A7121" w:rsidRDefault="000269E6" w:rsidP="00B647A5">
      <w:pPr>
        <w:pStyle w:val="Heading1"/>
        <w:numPr>
          <w:ilvl w:val="0"/>
          <w:numId w:val="0"/>
        </w:numPr>
        <w:ind w:left="762" w:hanging="567"/>
        <w:rPr>
          <w:b w:val="0"/>
          <w:bCs w:val="0"/>
          <w:sz w:val="22"/>
          <w:szCs w:val="22"/>
        </w:rPr>
      </w:pPr>
      <w:bookmarkStart w:id="90" w:name="_Toc148650913"/>
      <w:bookmarkStart w:id="91" w:name="_Toc155773720"/>
      <w:bookmarkStart w:id="92" w:name="_Toc159429884"/>
      <w:r w:rsidRPr="008A7121">
        <w:rPr>
          <w:b w:val="0"/>
          <w:bCs w:val="0"/>
          <w:sz w:val="22"/>
          <w:szCs w:val="22"/>
        </w:rPr>
        <w:t xml:space="preserve">Appendix </w:t>
      </w:r>
      <w:r w:rsidR="00F326B2">
        <w:rPr>
          <w:b w:val="0"/>
          <w:bCs w:val="0"/>
          <w:sz w:val="22"/>
          <w:szCs w:val="22"/>
        </w:rPr>
        <w:t xml:space="preserve">12 </w:t>
      </w:r>
      <w:r w:rsidRPr="008A7121">
        <w:rPr>
          <w:b w:val="0"/>
          <w:bCs w:val="0"/>
          <w:sz w:val="22"/>
          <w:szCs w:val="22"/>
        </w:rPr>
        <w:t>- KSI Process CQC Letter October 2023</w:t>
      </w:r>
      <w:bookmarkEnd w:id="90"/>
      <w:bookmarkEnd w:id="91"/>
      <w:bookmarkEnd w:id="92"/>
    </w:p>
    <w:p w14:paraId="7A6C4A56" w14:textId="34DA921B" w:rsidR="000269E6" w:rsidRPr="008A7121" w:rsidRDefault="000269E6" w:rsidP="00B647A5">
      <w:pPr>
        <w:pStyle w:val="Heading1"/>
        <w:numPr>
          <w:ilvl w:val="0"/>
          <w:numId w:val="0"/>
        </w:numPr>
        <w:ind w:left="762" w:hanging="567"/>
        <w:rPr>
          <w:b w:val="0"/>
          <w:bCs w:val="0"/>
          <w:sz w:val="22"/>
          <w:szCs w:val="22"/>
        </w:rPr>
      </w:pPr>
      <w:bookmarkStart w:id="93" w:name="_Toc148650914"/>
      <w:bookmarkStart w:id="94" w:name="_Toc155773721"/>
      <w:bookmarkStart w:id="95" w:name="_Toc159429885"/>
      <w:r w:rsidRPr="008A7121">
        <w:rPr>
          <w:b w:val="0"/>
          <w:bCs w:val="0"/>
          <w:sz w:val="22"/>
          <w:szCs w:val="22"/>
        </w:rPr>
        <w:t xml:space="preserve">Appendix </w:t>
      </w:r>
      <w:r w:rsidR="007F564D">
        <w:rPr>
          <w:b w:val="0"/>
          <w:bCs w:val="0"/>
          <w:sz w:val="22"/>
          <w:szCs w:val="22"/>
        </w:rPr>
        <w:t xml:space="preserve">13 </w:t>
      </w:r>
      <w:r w:rsidRPr="008A7121">
        <w:rPr>
          <w:b w:val="0"/>
          <w:bCs w:val="0"/>
          <w:sz w:val="22"/>
          <w:szCs w:val="22"/>
        </w:rPr>
        <w:t>- KSI REVIEW GUIDANCE</w:t>
      </w:r>
      <w:bookmarkEnd w:id="93"/>
      <w:bookmarkEnd w:id="94"/>
      <w:bookmarkEnd w:id="95"/>
    </w:p>
    <w:p w14:paraId="5BCFCF5D" w14:textId="15573E86" w:rsidR="009C2567" w:rsidRPr="00562FDF" w:rsidRDefault="000269E6" w:rsidP="00B647A5">
      <w:pPr>
        <w:pStyle w:val="Heading1"/>
        <w:numPr>
          <w:ilvl w:val="0"/>
          <w:numId w:val="0"/>
        </w:numPr>
        <w:ind w:left="762" w:hanging="567"/>
        <w:rPr>
          <w:sz w:val="22"/>
          <w:szCs w:val="22"/>
        </w:rPr>
      </w:pPr>
      <w:bookmarkStart w:id="96" w:name="_Toc148650915"/>
      <w:bookmarkStart w:id="97" w:name="_Toc155773722"/>
      <w:bookmarkStart w:id="98" w:name="_Toc159429886"/>
      <w:r w:rsidRPr="00562FDF">
        <w:rPr>
          <w:b w:val="0"/>
          <w:bCs w:val="0"/>
          <w:sz w:val="22"/>
          <w:szCs w:val="22"/>
        </w:rPr>
        <w:t xml:space="preserve">Appendix </w:t>
      </w:r>
      <w:r w:rsidR="007F564D" w:rsidRPr="00562FDF">
        <w:rPr>
          <w:b w:val="0"/>
          <w:bCs w:val="0"/>
          <w:sz w:val="22"/>
          <w:szCs w:val="22"/>
        </w:rPr>
        <w:t xml:space="preserve">14 </w:t>
      </w:r>
      <w:r w:rsidRPr="00562FDF">
        <w:rPr>
          <w:b w:val="0"/>
          <w:bCs w:val="0"/>
          <w:sz w:val="22"/>
          <w:szCs w:val="22"/>
        </w:rPr>
        <w:t xml:space="preserve">- </w:t>
      </w:r>
      <w:bookmarkEnd w:id="96"/>
      <w:bookmarkEnd w:id="97"/>
      <w:bookmarkEnd w:id="98"/>
      <w:r w:rsidR="00B02C8D" w:rsidRPr="00562FDF">
        <w:rPr>
          <w:b w:val="0"/>
          <w:bCs w:val="0"/>
          <w:sz w:val="22"/>
          <w:szCs w:val="22"/>
        </w:rPr>
        <w:t>BLOOD TRANSFUSION AND LABORATORY MEDICINE INCIDENT INVESTIGATION</w:t>
      </w:r>
    </w:p>
    <w:p w14:paraId="3C62C78B" w14:textId="7F9DB4C2" w:rsidR="009C2567" w:rsidRPr="008A7121" w:rsidRDefault="009C2567" w:rsidP="00B647A5">
      <w:pPr>
        <w:pStyle w:val="Heading1"/>
        <w:numPr>
          <w:ilvl w:val="0"/>
          <w:numId w:val="0"/>
        </w:numPr>
        <w:ind w:left="762" w:hanging="567"/>
        <w:rPr>
          <w:sz w:val="22"/>
          <w:szCs w:val="22"/>
        </w:rPr>
      </w:pPr>
      <w:bookmarkStart w:id="99" w:name="_Toc155773723"/>
      <w:bookmarkStart w:id="100" w:name="_Toc159429887"/>
      <w:r w:rsidRPr="00562FDF">
        <w:rPr>
          <w:b w:val="0"/>
          <w:bCs w:val="0"/>
          <w:sz w:val="22"/>
          <w:szCs w:val="22"/>
        </w:rPr>
        <w:t xml:space="preserve">APPENDIX </w:t>
      </w:r>
      <w:r w:rsidR="007F564D" w:rsidRPr="00562FDF">
        <w:rPr>
          <w:b w:val="0"/>
          <w:bCs w:val="0"/>
          <w:sz w:val="22"/>
          <w:szCs w:val="22"/>
        </w:rPr>
        <w:t xml:space="preserve">15 </w:t>
      </w:r>
      <w:r w:rsidRPr="00562FDF">
        <w:rPr>
          <w:b w:val="0"/>
          <w:bCs w:val="0"/>
          <w:sz w:val="22"/>
          <w:szCs w:val="22"/>
        </w:rPr>
        <w:t>- VTE Case Review</w:t>
      </w:r>
      <w:bookmarkEnd w:id="99"/>
      <w:bookmarkEnd w:id="100"/>
      <w:r w:rsidRPr="008A7121">
        <w:rPr>
          <w:b w:val="0"/>
          <w:bCs w:val="0"/>
          <w:sz w:val="22"/>
          <w:szCs w:val="22"/>
        </w:rPr>
        <w:t xml:space="preserve"> </w:t>
      </w:r>
    </w:p>
    <w:p w14:paraId="348DF630" w14:textId="045C96B4" w:rsidR="009C2567" w:rsidRPr="008A7121" w:rsidRDefault="009C2567" w:rsidP="00B647A5">
      <w:pPr>
        <w:pStyle w:val="Heading1"/>
        <w:numPr>
          <w:ilvl w:val="0"/>
          <w:numId w:val="0"/>
        </w:numPr>
        <w:ind w:left="762" w:hanging="567"/>
        <w:rPr>
          <w:b w:val="0"/>
          <w:bCs w:val="0"/>
          <w:sz w:val="22"/>
          <w:szCs w:val="22"/>
        </w:rPr>
      </w:pPr>
      <w:bookmarkStart w:id="101" w:name="_Toc155773724"/>
      <w:bookmarkStart w:id="102" w:name="_Toc159429888"/>
      <w:r w:rsidRPr="008A7121">
        <w:rPr>
          <w:b w:val="0"/>
          <w:bCs w:val="0"/>
          <w:sz w:val="22"/>
          <w:szCs w:val="22"/>
        </w:rPr>
        <w:t xml:space="preserve">APPENDIX </w:t>
      </w:r>
      <w:r w:rsidR="007F564D">
        <w:rPr>
          <w:b w:val="0"/>
          <w:bCs w:val="0"/>
          <w:sz w:val="22"/>
          <w:szCs w:val="22"/>
        </w:rPr>
        <w:t xml:space="preserve">16 </w:t>
      </w:r>
      <w:r w:rsidRPr="008A7121">
        <w:rPr>
          <w:b w:val="0"/>
          <w:bCs w:val="0"/>
          <w:sz w:val="22"/>
          <w:szCs w:val="22"/>
        </w:rPr>
        <w:t>- Pressure Ulcer Case Review</w:t>
      </w:r>
      <w:bookmarkEnd w:id="101"/>
      <w:bookmarkEnd w:id="102"/>
      <w:r w:rsidRPr="008A7121">
        <w:rPr>
          <w:b w:val="0"/>
          <w:bCs w:val="0"/>
          <w:sz w:val="22"/>
          <w:szCs w:val="22"/>
        </w:rPr>
        <w:t xml:space="preserve"> </w:t>
      </w:r>
    </w:p>
    <w:p w14:paraId="452A6F59" w14:textId="7CAE3024" w:rsidR="009C2567" w:rsidRPr="008A7121" w:rsidRDefault="009C2567" w:rsidP="00B647A5">
      <w:pPr>
        <w:pStyle w:val="Heading1"/>
        <w:numPr>
          <w:ilvl w:val="0"/>
          <w:numId w:val="0"/>
        </w:numPr>
        <w:ind w:left="762" w:hanging="567"/>
        <w:rPr>
          <w:b w:val="0"/>
          <w:bCs w:val="0"/>
          <w:sz w:val="22"/>
          <w:szCs w:val="22"/>
        </w:rPr>
      </w:pPr>
      <w:bookmarkStart w:id="103" w:name="_Toc155773725"/>
      <w:bookmarkStart w:id="104" w:name="_Toc159429889"/>
      <w:r w:rsidRPr="008A7121">
        <w:rPr>
          <w:b w:val="0"/>
          <w:bCs w:val="0"/>
          <w:sz w:val="22"/>
          <w:szCs w:val="22"/>
        </w:rPr>
        <w:t xml:space="preserve">APPENDIX </w:t>
      </w:r>
      <w:r w:rsidR="007F564D">
        <w:rPr>
          <w:b w:val="0"/>
          <w:bCs w:val="0"/>
          <w:sz w:val="22"/>
          <w:szCs w:val="22"/>
        </w:rPr>
        <w:t xml:space="preserve">17 </w:t>
      </w:r>
      <w:r w:rsidRPr="008A7121">
        <w:rPr>
          <w:b w:val="0"/>
          <w:bCs w:val="0"/>
          <w:sz w:val="22"/>
          <w:szCs w:val="22"/>
        </w:rPr>
        <w:t>- SSI Case Review</w:t>
      </w:r>
      <w:bookmarkEnd w:id="103"/>
      <w:bookmarkEnd w:id="104"/>
      <w:r w:rsidRPr="008A7121">
        <w:rPr>
          <w:b w:val="0"/>
          <w:bCs w:val="0"/>
          <w:sz w:val="22"/>
          <w:szCs w:val="22"/>
        </w:rPr>
        <w:t xml:space="preserve"> </w:t>
      </w:r>
    </w:p>
    <w:p w14:paraId="783293C3" w14:textId="651CFDF0" w:rsidR="000269E6" w:rsidRPr="008A7121" w:rsidRDefault="000269E6" w:rsidP="00B647A5">
      <w:pPr>
        <w:pStyle w:val="Heading1"/>
        <w:numPr>
          <w:ilvl w:val="0"/>
          <w:numId w:val="0"/>
        </w:numPr>
        <w:ind w:left="762" w:hanging="567"/>
        <w:rPr>
          <w:sz w:val="22"/>
          <w:szCs w:val="22"/>
        </w:rPr>
      </w:pPr>
      <w:bookmarkStart w:id="105" w:name="_Toc148650916"/>
      <w:bookmarkStart w:id="106" w:name="_Toc155773726"/>
      <w:bookmarkStart w:id="107" w:name="_Toc159429890"/>
      <w:r w:rsidRPr="008A7121">
        <w:rPr>
          <w:b w:val="0"/>
          <w:bCs w:val="0"/>
          <w:sz w:val="22"/>
          <w:szCs w:val="22"/>
        </w:rPr>
        <w:t xml:space="preserve">APPENDIX </w:t>
      </w:r>
      <w:r w:rsidR="007F564D">
        <w:rPr>
          <w:b w:val="0"/>
          <w:bCs w:val="0"/>
          <w:sz w:val="22"/>
          <w:szCs w:val="22"/>
        </w:rPr>
        <w:t xml:space="preserve">18 </w:t>
      </w:r>
      <w:r w:rsidRPr="008A7121">
        <w:rPr>
          <w:b w:val="0"/>
          <w:bCs w:val="0"/>
          <w:sz w:val="22"/>
          <w:szCs w:val="22"/>
        </w:rPr>
        <w:t>- PATIENT SAFETY INCIDENT RESPONSE FLOWCHART</w:t>
      </w:r>
      <w:bookmarkEnd w:id="105"/>
      <w:bookmarkEnd w:id="106"/>
      <w:bookmarkEnd w:id="107"/>
    </w:p>
    <w:p w14:paraId="6EA65276" w14:textId="1F59F124" w:rsidR="009C2567" w:rsidRPr="008A7121" w:rsidRDefault="00356342" w:rsidP="00B647A5">
      <w:pPr>
        <w:pStyle w:val="Heading1"/>
        <w:numPr>
          <w:ilvl w:val="0"/>
          <w:numId w:val="0"/>
        </w:numPr>
        <w:ind w:left="762" w:hanging="567"/>
        <w:rPr>
          <w:sz w:val="22"/>
          <w:szCs w:val="22"/>
        </w:rPr>
      </w:pPr>
      <w:bookmarkStart w:id="108" w:name="_Toc155773727"/>
      <w:bookmarkStart w:id="109" w:name="_Toc159429891"/>
      <w:r w:rsidRPr="008A7121">
        <w:rPr>
          <w:b w:val="0"/>
          <w:bCs w:val="0"/>
          <w:sz w:val="22"/>
          <w:szCs w:val="22"/>
        </w:rPr>
        <w:t xml:space="preserve">APPENDIX </w:t>
      </w:r>
      <w:r w:rsidR="007F564D">
        <w:rPr>
          <w:b w:val="0"/>
          <w:bCs w:val="0"/>
          <w:sz w:val="22"/>
          <w:szCs w:val="22"/>
        </w:rPr>
        <w:t xml:space="preserve">19 </w:t>
      </w:r>
      <w:r w:rsidRPr="008A7121">
        <w:rPr>
          <w:b w:val="0"/>
          <w:bCs w:val="0"/>
          <w:sz w:val="22"/>
          <w:szCs w:val="22"/>
        </w:rPr>
        <w:t>- MORTALITY FLOWCHART</w:t>
      </w:r>
      <w:bookmarkEnd w:id="108"/>
      <w:bookmarkEnd w:id="109"/>
      <w:r w:rsidR="009C2567" w:rsidRPr="008A7121">
        <w:rPr>
          <w:b w:val="0"/>
          <w:bCs w:val="0"/>
          <w:sz w:val="22"/>
          <w:szCs w:val="22"/>
        </w:rPr>
        <w:t xml:space="preserve"> </w:t>
      </w:r>
    </w:p>
    <w:p w14:paraId="5D56AF1E" w14:textId="6156F314" w:rsidR="009C2567" w:rsidRPr="008A7121" w:rsidRDefault="009C2567" w:rsidP="00B647A5">
      <w:pPr>
        <w:pStyle w:val="Heading1"/>
        <w:numPr>
          <w:ilvl w:val="0"/>
          <w:numId w:val="0"/>
        </w:numPr>
        <w:ind w:left="762" w:hanging="567"/>
        <w:rPr>
          <w:sz w:val="22"/>
          <w:szCs w:val="22"/>
        </w:rPr>
      </w:pPr>
      <w:bookmarkStart w:id="110" w:name="_Toc155773728"/>
      <w:bookmarkStart w:id="111" w:name="_Toc159429892"/>
      <w:r w:rsidRPr="008A7121">
        <w:rPr>
          <w:b w:val="0"/>
          <w:bCs w:val="0"/>
          <w:sz w:val="22"/>
          <w:szCs w:val="22"/>
        </w:rPr>
        <w:t xml:space="preserve">APPENDIX </w:t>
      </w:r>
      <w:r w:rsidR="007F564D">
        <w:rPr>
          <w:b w:val="0"/>
          <w:bCs w:val="0"/>
          <w:sz w:val="22"/>
          <w:szCs w:val="22"/>
        </w:rPr>
        <w:t xml:space="preserve">20 </w:t>
      </w:r>
      <w:r w:rsidRPr="008A7121">
        <w:rPr>
          <w:b w:val="0"/>
          <w:bCs w:val="0"/>
          <w:sz w:val="22"/>
          <w:szCs w:val="22"/>
        </w:rPr>
        <w:t>- MORTALITY CASE REVIEW</w:t>
      </w:r>
      <w:bookmarkEnd w:id="110"/>
      <w:bookmarkEnd w:id="111"/>
    </w:p>
    <w:p w14:paraId="37930C62" w14:textId="0174BA56" w:rsidR="009C2567" w:rsidRPr="008A7121" w:rsidRDefault="009C2567" w:rsidP="00B647A5">
      <w:pPr>
        <w:pStyle w:val="Heading1"/>
        <w:numPr>
          <w:ilvl w:val="0"/>
          <w:numId w:val="0"/>
        </w:numPr>
        <w:ind w:left="762" w:hanging="567"/>
        <w:rPr>
          <w:sz w:val="22"/>
          <w:szCs w:val="22"/>
        </w:rPr>
      </w:pPr>
      <w:bookmarkStart w:id="112" w:name="_Toc155773729"/>
      <w:bookmarkStart w:id="113" w:name="_Toc159429893"/>
      <w:r w:rsidRPr="008A7121">
        <w:rPr>
          <w:b w:val="0"/>
          <w:bCs w:val="0"/>
          <w:sz w:val="22"/>
          <w:szCs w:val="22"/>
        </w:rPr>
        <w:t xml:space="preserve">APPENDIX </w:t>
      </w:r>
      <w:r w:rsidR="007F564D">
        <w:rPr>
          <w:b w:val="0"/>
          <w:bCs w:val="0"/>
          <w:sz w:val="22"/>
          <w:szCs w:val="22"/>
        </w:rPr>
        <w:t xml:space="preserve">21 </w:t>
      </w:r>
      <w:r w:rsidRPr="008A7121">
        <w:rPr>
          <w:b w:val="0"/>
          <w:bCs w:val="0"/>
          <w:sz w:val="22"/>
          <w:szCs w:val="22"/>
        </w:rPr>
        <w:t>- MORTALITY review – sact</w:t>
      </w:r>
      <w:bookmarkEnd w:id="112"/>
      <w:bookmarkEnd w:id="113"/>
    </w:p>
    <w:p w14:paraId="1B194E60" w14:textId="32D5EA28" w:rsidR="009C2567" w:rsidRPr="008A7121" w:rsidRDefault="009C2567" w:rsidP="00B647A5">
      <w:pPr>
        <w:pStyle w:val="Heading1"/>
        <w:numPr>
          <w:ilvl w:val="0"/>
          <w:numId w:val="0"/>
        </w:numPr>
        <w:ind w:left="762" w:hanging="567"/>
        <w:rPr>
          <w:sz w:val="22"/>
          <w:szCs w:val="22"/>
        </w:rPr>
      </w:pPr>
      <w:bookmarkStart w:id="114" w:name="_Toc155773730"/>
      <w:bookmarkStart w:id="115" w:name="_Toc159429894"/>
      <w:r w:rsidRPr="008A7121">
        <w:rPr>
          <w:b w:val="0"/>
          <w:bCs w:val="0"/>
          <w:sz w:val="22"/>
          <w:szCs w:val="22"/>
        </w:rPr>
        <w:t xml:space="preserve">APPENDIX </w:t>
      </w:r>
      <w:r w:rsidR="007F564D">
        <w:rPr>
          <w:b w:val="0"/>
          <w:bCs w:val="0"/>
          <w:sz w:val="22"/>
          <w:szCs w:val="22"/>
        </w:rPr>
        <w:t xml:space="preserve">22 </w:t>
      </w:r>
      <w:r w:rsidRPr="008A7121">
        <w:rPr>
          <w:b w:val="0"/>
          <w:bCs w:val="0"/>
          <w:sz w:val="22"/>
          <w:szCs w:val="22"/>
        </w:rPr>
        <w:t>- MORTALITY review IMA</w:t>
      </w:r>
      <w:bookmarkEnd w:id="114"/>
      <w:bookmarkEnd w:id="115"/>
    </w:p>
    <w:p w14:paraId="12D78240" w14:textId="350002C8" w:rsidR="00F100EB" w:rsidRPr="008A7121" w:rsidRDefault="009C2567" w:rsidP="00B647A5">
      <w:pPr>
        <w:pStyle w:val="Heading1"/>
        <w:numPr>
          <w:ilvl w:val="0"/>
          <w:numId w:val="0"/>
        </w:numPr>
        <w:ind w:left="762" w:hanging="567"/>
        <w:rPr>
          <w:sz w:val="22"/>
          <w:szCs w:val="22"/>
        </w:rPr>
      </w:pPr>
      <w:bookmarkStart w:id="116" w:name="_Toc155773731"/>
      <w:bookmarkStart w:id="117" w:name="_Toc159429895"/>
      <w:r w:rsidRPr="008A7121">
        <w:rPr>
          <w:b w:val="0"/>
          <w:bCs w:val="0"/>
          <w:sz w:val="22"/>
          <w:szCs w:val="22"/>
        </w:rPr>
        <w:t xml:space="preserve">APPENDIX </w:t>
      </w:r>
      <w:r w:rsidR="007F564D">
        <w:rPr>
          <w:b w:val="0"/>
          <w:bCs w:val="0"/>
          <w:sz w:val="22"/>
          <w:szCs w:val="22"/>
        </w:rPr>
        <w:t xml:space="preserve">23 </w:t>
      </w:r>
      <w:r w:rsidRPr="008A7121">
        <w:rPr>
          <w:b w:val="0"/>
          <w:bCs w:val="0"/>
          <w:sz w:val="22"/>
          <w:szCs w:val="22"/>
        </w:rPr>
        <w:t>- MORTALITY STRUCTURED JUDGEMENT REVIEW</w:t>
      </w:r>
      <w:bookmarkEnd w:id="116"/>
      <w:bookmarkEnd w:id="117"/>
    </w:p>
    <w:p w14:paraId="0AE44DCD" w14:textId="7461FF20" w:rsidR="004F35BE" w:rsidRPr="008A7121" w:rsidRDefault="004F35BE" w:rsidP="00B647A5">
      <w:pPr>
        <w:pStyle w:val="Heading1"/>
        <w:numPr>
          <w:ilvl w:val="0"/>
          <w:numId w:val="0"/>
        </w:numPr>
        <w:ind w:left="762" w:hanging="567"/>
        <w:rPr>
          <w:sz w:val="22"/>
          <w:szCs w:val="22"/>
        </w:rPr>
      </w:pPr>
      <w:bookmarkStart w:id="118" w:name="_Hlk156823504"/>
      <w:bookmarkStart w:id="119" w:name="_Toc155773732"/>
      <w:bookmarkStart w:id="120" w:name="_Toc159429896"/>
      <w:r w:rsidRPr="008A7121">
        <w:rPr>
          <w:b w:val="0"/>
          <w:bCs w:val="0"/>
          <w:sz w:val="22"/>
          <w:szCs w:val="22"/>
        </w:rPr>
        <w:t xml:space="preserve">APPENDIX </w:t>
      </w:r>
      <w:r w:rsidR="00CE5EB3">
        <w:rPr>
          <w:b w:val="0"/>
          <w:bCs w:val="0"/>
          <w:sz w:val="22"/>
          <w:szCs w:val="22"/>
        </w:rPr>
        <w:t xml:space="preserve">24 </w:t>
      </w:r>
      <w:r w:rsidRPr="008A7121">
        <w:rPr>
          <w:b w:val="0"/>
          <w:bCs w:val="0"/>
          <w:sz w:val="22"/>
          <w:szCs w:val="22"/>
        </w:rPr>
        <w:t xml:space="preserve">- </w:t>
      </w:r>
      <w:bookmarkEnd w:id="118"/>
      <w:r w:rsidRPr="008A7121">
        <w:rPr>
          <w:b w:val="0"/>
          <w:bCs w:val="0"/>
          <w:sz w:val="22"/>
          <w:szCs w:val="22"/>
        </w:rPr>
        <w:t>Condolence Letter Template</w:t>
      </w:r>
      <w:bookmarkEnd w:id="119"/>
      <w:bookmarkEnd w:id="120"/>
    </w:p>
    <w:p w14:paraId="57154DF3" w14:textId="1CC1CDAF" w:rsidR="00F100EB" w:rsidRPr="008A7121" w:rsidRDefault="004F64D3" w:rsidP="00B647A5">
      <w:pPr>
        <w:pStyle w:val="Heading1"/>
        <w:numPr>
          <w:ilvl w:val="0"/>
          <w:numId w:val="0"/>
        </w:numPr>
        <w:ind w:left="762" w:hanging="567"/>
        <w:rPr>
          <w:b w:val="0"/>
          <w:bCs w:val="0"/>
          <w:sz w:val="22"/>
          <w:szCs w:val="22"/>
        </w:rPr>
      </w:pPr>
      <w:bookmarkStart w:id="121" w:name="_Toc155773733"/>
      <w:bookmarkStart w:id="122" w:name="_Toc159429897"/>
      <w:r w:rsidRPr="004F64D3">
        <w:rPr>
          <w:b w:val="0"/>
          <w:bCs w:val="0"/>
          <w:sz w:val="22"/>
          <w:szCs w:val="22"/>
        </w:rPr>
        <w:t xml:space="preserve">APPENDIX </w:t>
      </w:r>
      <w:r w:rsidR="00CE5EB3">
        <w:rPr>
          <w:b w:val="0"/>
          <w:bCs w:val="0"/>
          <w:sz w:val="22"/>
          <w:szCs w:val="22"/>
        </w:rPr>
        <w:t xml:space="preserve">25 </w:t>
      </w:r>
      <w:r w:rsidRPr="004F64D3">
        <w:rPr>
          <w:b w:val="0"/>
          <w:bCs w:val="0"/>
          <w:sz w:val="22"/>
          <w:szCs w:val="22"/>
        </w:rPr>
        <w:t xml:space="preserve">- </w:t>
      </w:r>
      <w:r w:rsidR="00F100EB" w:rsidRPr="008A7121">
        <w:rPr>
          <w:b w:val="0"/>
          <w:bCs w:val="0"/>
          <w:sz w:val="22"/>
          <w:szCs w:val="22"/>
        </w:rPr>
        <w:t>medical examiner process</w:t>
      </w:r>
      <w:bookmarkEnd w:id="121"/>
      <w:bookmarkEnd w:id="122"/>
    </w:p>
    <w:p w14:paraId="6C8DF049" w14:textId="58A41AEC" w:rsidR="00AC4486" w:rsidRPr="008A7121" w:rsidRDefault="004F64D3" w:rsidP="00B647A5">
      <w:pPr>
        <w:pStyle w:val="Heading1"/>
        <w:numPr>
          <w:ilvl w:val="0"/>
          <w:numId w:val="0"/>
        </w:numPr>
        <w:ind w:left="762" w:hanging="567"/>
        <w:rPr>
          <w:sz w:val="22"/>
          <w:szCs w:val="22"/>
        </w:rPr>
      </w:pPr>
      <w:bookmarkStart w:id="123" w:name="_Toc155773734"/>
      <w:bookmarkStart w:id="124" w:name="_Toc159429898"/>
      <w:r w:rsidRPr="004F64D3">
        <w:rPr>
          <w:b w:val="0"/>
          <w:bCs w:val="0"/>
          <w:sz w:val="22"/>
          <w:szCs w:val="22"/>
        </w:rPr>
        <w:t xml:space="preserve">APPENDIX </w:t>
      </w:r>
      <w:r w:rsidR="00CE5EB3">
        <w:rPr>
          <w:b w:val="0"/>
          <w:bCs w:val="0"/>
          <w:sz w:val="22"/>
          <w:szCs w:val="22"/>
        </w:rPr>
        <w:t xml:space="preserve">26 </w:t>
      </w:r>
      <w:r w:rsidRPr="004F64D3">
        <w:rPr>
          <w:b w:val="0"/>
          <w:bCs w:val="0"/>
          <w:sz w:val="22"/>
          <w:szCs w:val="22"/>
        </w:rPr>
        <w:t xml:space="preserve">- </w:t>
      </w:r>
      <w:r w:rsidR="00F100EB" w:rsidRPr="008A7121">
        <w:rPr>
          <w:b w:val="0"/>
          <w:bCs w:val="0"/>
          <w:sz w:val="22"/>
          <w:szCs w:val="22"/>
        </w:rPr>
        <w:t xml:space="preserve">LEVELS OF HARM </w:t>
      </w:r>
      <w:r w:rsidR="00AC4486" w:rsidRPr="008A7121">
        <w:rPr>
          <w:b w:val="0"/>
          <w:bCs w:val="0"/>
          <w:sz w:val="22"/>
          <w:szCs w:val="22"/>
        </w:rPr>
        <w:t>–</w:t>
      </w:r>
      <w:r w:rsidR="00F100EB" w:rsidRPr="008A7121">
        <w:rPr>
          <w:b w:val="0"/>
          <w:bCs w:val="0"/>
          <w:sz w:val="22"/>
          <w:szCs w:val="22"/>
        </w:rPr>
        <w:t xml:space="preserve"> CLINICAL</w:t>
      </w:r>
      <w:bookmarkEnd w:id="123"/>
      <w:bookmarkEnd w:id="124"/>
    </w:p>
    <w:p w14:paraId="14415400" w14:textId="15C7EB67" w:rsidR="00AC4486" w:rsidRDefault="004F64D3" w:rsidP="00B647A5">
      <w:pPr>
        <w:pStyle w:val="Heading1"/>
        <w:numPr>
          <w:ilvl w:val="0"/>
          <w:numId w:val="0"/>
        </w:numPr>
        <w:ind w:left="762" w:hanging="567"/>
        <w:rPr>
          <w:b w:val="0"/>
          <w:bCs w:val="0"/>
          <w:sz w:val="22"/>
          <w:szCs w:val="22"/>
        </w:rPr>
      </w:pPr>
      <w:bookmarkStart w:id="125" w:name="_Toc155773735"/>
      <w:bookmarkStart w:id="126" w:name="_Toc159429899"/>
      <w:r w:rsidRPr="00610C07">
        <w:rPr>
          <w:b w:val="0"/>
          <w:bCs w:val="0"/>
          <w:sz w:val="22"/>
          <w:szCs w:val="22"/>
        </w:rPr>
        <w:t xml:space="preserve">APPENDIX </w:t>
      </w:r>
      <w:r w:rsidR="00CE5EB3">
        <w:rPr>
          <w:b w:val="0"/>
          <w:bCs w:val="0"/>
          <w:sz w:val="22"/>
          <w:szCs w:val="22"/>
        </w:rPr>
        <w:t xml:space="preserve">27 </w:t>
      </w:r>
      <w:r w:rsidRPr="00610C07">
        <w:rPr>
          <w:b w:val="0"/>
          <w:bCs w:val="0"/>
          <w:sz w:val="22"/>
          <w:szCs w:val="22"/>
        </w:rPr>
        <w:t xml:space="preserve">- </w:t>
      </w:r>
      <w:r w:rsidR="00AC4486" w:rsidRPr="008A7121">
        <w:rPr>
          <w:b w:val="0"/>
          <w:bCs w:val="0"/>
          <w:sz w:val="22"/>
          <w:szCs w:val="22"/>
        </w:rPr>
        <w:t>Spire Healthcare just culture: Managers step by step guide</w:t>
      </w:r>
      <w:bookmarkEnd w:id="125"/>
      <w:bookmarkEnd w:id="126"/>
    </w:p>
    <w:p w14:paraId="312D48E1" w14:textId="4F45A51A" w:rsidR="00500E9D" w:rsidRDefault="004F64D3" w:rsidP="00B647A5">
      <w:pPr>
        <w:pStyle w:val="Heading1"/>
        <w:numPr>
          <w:ilvl w:val="0"/>
          <w:numId w:val="0"/>
        </w:numPr>
        <w:ind w:left="762" w:hanging="567"/>
        <w:rPr>
          <w:b w:val="0"/>
          <w:bCs w:val="0"/>
          <w:sz w:val="22"/>
          <w:szCs w:val="22"/>
        </w:rPr>
      </w:pPr>
      <w:bookmarkStart w:id="127" w:name="_Toc159429900"/>
      <w:r w:rsidRPr="004F64D3">
        <w:rPr>
          <w:b w:val="0"/>
          <w:bCs w:val="0"/>
          <w:sz w:val="22"/>
          <w:szCs w:val="22"/>
        </w:rPr>
        <w:t>APPENDIX</w:t>
      </w:r>
      <w:r w:rsidR="00CE5EB3">
        <w:rPr>
          <w:b w:val="0"/>
          <w:bCs w:val="0"/>
          <w:sz w:val="22"/>
          <w:szCs w:val="22"/>
        </w:rPr>
        <w:t xml:space="preserve"> 28</w:t>
      </w:r>
      <w:r w:rsidRPr="004F64D3">
        <w:rPr>
          <w:b w:val="0"/>
          <w:bCs w:val="0"/>
          <w:sz w:val="22"/>
          <w:szCs w:val="22"/>
        </w:rPr>
        <w:t xml:space="preserve"> - </w:t>
      </w:r>
      <w:r>
        <w:rPr>
          <w:b w:val="0"/>
          <w:bCs w:val="0"/>
          <w:sz w:val="22"/>
          <w:szCs w:val="22"/>
        </w:rPr>
        <w:t>PSIR guidance</w:t>
      </w:r>
      <w:bookmarkEnd w:id="127"/>
    </w:p>
    <w:p w14:paraId="4B5AC406" w14:textId="755C36F4" w:rsidR="00CE5EB3" w:rsidRDefault="00CE5EB3" w:rsidP="00B647A5">
      <w:pPr>
        <w:pStyle w:val="Heading1"/>
        <w:numPr>
          <w:ilvl w:val="0"/>
          <w:numId w:val="0"/>
        </w:numPr>
        <w:ind w:left="762" w:hanging="567"/>
        <w:rPr>
          <w:b w:val="0"/>
          <w:bCs w:val="0"/>
          <w:sz w:val="22"/>
          <w:szCs w:val="22"/>
        </w:rPr>
      </w:pPr>
      <w:r>
        <w:rPr>
          <w:b w:val="0"/>
          <w:bCs w:val="0"/>
          <w:sz w:val="22"/>
          <w:szCs w:val="22"/>
        </w:rPr>
        <w:t xml:space="preserve">Appendix 29 </w:t>
      </w:r>
      <w:r w:rsidR="00165175">
        <w:rPr>
          <w:b w:val="0"/>
          <w:bCs w:val="0"/>
          <w:sz w:val="22"/>
          <w:szCs w:val="22"/>
        </w:rPr>
        <w:t>–</w:t>
      </w:r>
      <w:r>
        <w:rPr>
          <w:b w:val="0"/>
          <w:bCs w:val="0"/>
          <w:sz w:val="22"/>
          <w:szCs w:val="22"/>
        </w:rPr>
        <w:t xml:space="preserve"> </w:t>
      </w:r>
      <w:r w:rsidR="00377BC0" w:rsidRPr="00377BC0">
        <w:rPr>
          <w:b w:val="0"/>
          <w:bCs w:val="0"/>
          <w:sz w:val="22"/>
          <w:szCs w:val="22"/>
        </w:rPr>
        <w:t>Investigation of Wrong Site Imaging</w:t>
      </w:r>
      <w:r w:rsidR="00165175">
        <w:rPr>
          <w:b w:val="0"/>
          <w:bCs w:val="0"/>
          <w:sz w:val="22"/>
          <w:szCs w:val="22"/>
        </w:rPr>
        <w:t xml:space="preserve"> </w:t>
      </w:r>
    </w:p>
    <w:p w14:paraId="1DB86BC1" w14:textId="4FCE79A7" w:rsidR="00CE5EB3" w:rsidRDefault="00CE5EB3" w:rsidP="00B647A5">
      <w:pPr>
        <w:pStyle w:val="Heading1"/>
        <w:numPr>
          <w:ilvl w:val="0"/>
          <w:numId w:val="0"/>
        </w:numPr>
        <w:ind w:left="762" w:hanging="567"/>
        <w:rPr>
          <w:b w:val="0"/>
          <w:bCs w:val="0"/>
          <w:sz w:val="22"/>
          <w:szCs w:val="22"/>
        </w:rPr>
      </w:pPr>
      <w:r>
        <w:rPr>
          <w:b w:val="0"/>
          <w:bCs w:val="0"/>
          <w:sz w:val="22"/>
          <w:szCs w:val="22"/>
        </w:rPr>
        <w:t>Appendix 30</w:t>
      </w:r>
      <w:r w:rsidR="00165175">
        <w:rPr>
          <w:b w:val="0"/>
          <w:bCs w:val="0"/>
          <w:sz w:val="22"/>
          <w:szCs w:val="22"/>
        </w:rPr>
        <w:t xml:space="preserve"> - </w:t>
      </w:r>
      <w:r w:rsidR="00701DE0" w:rsidRPr="00701DE0">
        <w:rPr>
          <w:b w:val="0"/>
          <w:bCs w:val="0"/>
          <w:sz w:val="22"/>
          <w:szCs w:val="22"/>
        </w:rPr>
        <w:t>INVESTIGATION OF DOSE GREATER THAN INTENDED</w:t>
      </w:r>
    </w:p>
    <w:p w14:paraId="5B184D4D" w14:textId="77777777" w:rsidR="00C826F3" w:rsidRPr="008A7121" w:rsidRDefault="00C826F3" w:rsidP="00B647A5">
      <w:pPr>
        <w:pStyle w:val="Heading1"/>
        <w:numPr>
          <w:ilvl w:val="0"/>
          <w:numId w:val="0"/>
        </w:numPr>
        <w:ind w:left="762" w:hanging="567"/>
        <w:rPr>
          <w:sz w:val="22"/>
          <w:szCs w:val="22"/>
        </w:rPr>
      </w:pPr>
    </w:p>
    <w:p w14:paraId="599B6E51" w14:textId="386260ED" w:rsidR="00B6712B" w:rsidRDefault="00B6712B" w:rsidP="004F64D3">
      <w:pPr>
        <w:pStyle w:val="Heading1"/>
        <w:numPr>
          <w:ilvl w:val="0"/>
          <w:numId w:val="0"/>
        </w:numPr>
        <w:ind w:left="720"/>
        <w:rPr>
          <w:b w:val="0"/>
          <w:bCs w:val="0"/>
          <w:sz w:val="22"/>
          <w:szCs w:val="22"/>
        </w:rPr>
      </w:pPr>
    </w:p>
    <w:p w14:paraId="612AAC62" w14:textId="77777777" w:rsidR="00AB2AC6" w:rsidRDefault="00AB2AC6" w:rsidP="004F64D3">
      <w:pPr>
        <w:pStyle w:val="Heading1"/>
        <w:numPr>
          <w:ilvl w:val="0"/>
          <w:numId w:val="0"/>
        </w:numPr>
        <w:ind w:left="720"/>
        <w:rPr>
          <w:b w:val="0"/>
          <w:bCs w:val="0"/>
          <w:sz w:val="22"/>
          <w:szCs w:val="22"/>
        </w:rPr>
      </w:pPr>
    </w:p>
    <w:p w14:paraId="7FBDF28B" w14:textId="77777777" w:rsidR="00AB2AC6" w:rsidRDefault="00AB2AC6" w:rsidP="004F64D3">
      <w:pPr>
        <w:pStyle w:val="Heading1"/>
        <w:numPr>
          <w:ilvl w:val="0"/>
          <w:numId w:val="0"/>
        </w:numPr>
        <w:ind w:left="720"/>
        <w:rPr>
          <w:b w:val="0"/>
          <w:bCs w:val="0"/>
          <w:sz w:val="22"/>
          <w:szCs w:val="22"/>
        </w:rPr>
      </w:pPr>
    </w:p>
    <w:p w14:paraId="11E1C8EA" w14:textId="77777777" w:rsidR="00AB2AC6" w:rsidRDefault="00AB2AC6" w:rsidP="004F64D3">
      <w:pPr>
        <w:pStyle w:val="Heading1"/>
        <w:numPr>
          <w:ilvl w:val="0"/>
          <w:numId w:val="0"/>
        </w:numPr>
        <w:ind w:left="720"/>
        <w:rPr>
          <w:b w:val="0"/>
          <w:bCs w:val="0"/>
          <w:sz w:val="22"/>
          <w:szCs w:val="22"/>
        </w:rPr>
      </w:pPr>
    </w:p>
    <w:p w14:paraId="040153EC" w14:textId="77777777" w:rsidR="00AB2AC6" w:rsidRDefault="00AB2AC6" w:rsidP="004F64D3">
      <w:pPr>
        <w:pStyle w:val="Heading1"/>
        <w:numPr>
          <w:ilvl w:val="0"/>
          <w:numId w:val="0"/>
        </w:numPr>
        <w:ind w:left="720"/>
        <w:rPr>
          <w:b w:val="0"/>
          <w:bCs w:val="0"/>
          <w:sz w:val="22"/>
          <w:szCs w:val="22"/>
        </w:rPr>
      </w:pPr>
    </w:p>
    <w:p w14:paraId="2BF78F0E" w14:textId="77777777" w:rsidR="00AB2AC6" w:rsidRDefault="00AB2AC6" w:rsidP="004F64D3">
      <w:pPr>
        <w:pStyle w:val="Heading1"/>
        <w:numPr>
          <w:ilvl w:val="0"/>
          <w:numId w:val="0"/>
        </w:numPr>
        <w:ind w:left="720"/>
        <w:rPr>
          <w:b w:val="0"/>
          <w:bCs w:val="0"/>
          <w:sz w:val="22"/>
          <w:szCs w:val="22"/>
        </w:rPr>
      </w:pPr>
    </w:p>
    <w:p w14:paraId="2193B13F" w14:textId="77777777" w:rsidR="00AB2AC6" w:rsidRDefault="00AB2AC6" w:rsidP="004F64D3">
      <w:pPr>
        <w:pStyle w:val="Heading1"/>
        <w:numPr>
          <w:ilvl w:val="0"/>
          <w:numId w:val="0"/>
        </w:numPr>
        <w:ind w:left="720"/>
        <w:rPr>
          <w:b w:val="0"/>
          <w:bCs w:val="0"/>
          <w:sz w:val="22"/>
          <w:szCs w:val="22"/>
        </w:rPr>
      </w:pPr>
    </w:p>
    <w:p w14:paraId="351780CE" w14:textId="77777777" w:rsidR="00AB2AC6" w:rsidRDefault="00AB2AC6" w:rsidP="004F64D3">
      <w:pPr>
        <w:pStyle w:val="Heading1"/>
        <w:numPr>
          <w:ilvl w:val="0"/>
          <w:numId w:val="0"/>
        </w:numPr>
        <w:ind w:left="720"/>
        <w:rPr>
          <w:b w:val="0"/>
          <w:bCs w:val="0"/>
          <w:sz w:val="22"/>
          <w:szCs w:val="22"/>
        </w:rPr>
      </w:pPr>
    </w:p>
    <w:p w14:paraId="00B0B1FF" w14:textId="77777777" w:rsidR="00AB2AC6" w:rsidRDefault="00AB2AC6" w:rsidP="004F64D3">
      <w:pPr>
        <w:pStyle w:val="Heading1"/>
        <w:numPr>
          <w:ilvl w:val="0"/>
          <w:numId w:val="0"/>
        </w:numPr>
        <w:ind w:left="720"/>
        <w:rPr>
          <w:b w:val="0"/>
          <w:bCs w:val="0"/>
          <w:sz w:val="22"/>
          <w:szCs w:val="22"/>
        </w:rPr>
      </w:pPr>
    </w:p>
    <w:p w14:paraId="19047614" w14:textId="77777777" w:rsidR="00AB2AC6" w:rsidRDefault="00AB2AC6" w:rsidP="004F64D3">
      <w:pPr>
        <w:pStyle w:val="Heading1"/>
        <w:numPr>
          <w:ilvl w:val="0"/>
          <w:numId w:val="0"/>
        </w:numPr>
        <w:ind w:left="720"/>
        <w:rPr>
          <w:b w:val="0"/>
          <w:bCs w:val="0"/>
          <w:sz w:val="22"/>
          <w:szCs w:val="22"/>
        </w:rPr>
      </w:pPr>
    </w:p>
    <w:p w14:paraId="420ADB0A" w14:textId="77777777" w:rsidR="00AB2AC6" w:rsidRDefault="00AB2AC6" w:rsidP="004F64D3">
      <w:pPr>
        <w:pStyle w:val="Heading1"/>
        <w:numPr>
          <w:ilvl w:val="0"/>
          <w:numId w:val="0"/>
        </w:numPr>
        <w:ind w:left="720"/>
        <w:rPr>
          <w:b w:val="0"/>
          <w:bCs w:val="0"/>
          <w:sz w:val="22"/>
          <w:szCs w:val="22"/>
        </w:rPr>
      </w:pPr>
    </w:p>
    <w:p w14:paraId="533361F7" w14:textId="77777777" w:rsidR="00AB2AC6" w:rsidRDefault="00AB2AC6" w:rsidP="004F64D3">
      <w:pPr>
        <w:pStyle w:val="Heading1"/>
        <w:numPr>
          <w:ilvl w:val="0"/>
          <w:numId w:val="0"/>
        </w:numPr>
        <w:ind w:left="720"/>
        <w:rPr>
          <w:b w:val="0"/>
          <w:bCs w:val="0"/>
          <w:sz w:val="22"/>
          <w:szCs w:val="22"/>
        </w:rPr>
      </w:pPr>
    </w:p>
    <w:p w14:paraId="0574F408" w14:textId="77777777" w:rsidR="00AB2AC6" w:rsidRDefault="00AB2AC6" w:rsidP="004F64D3">
      <w:pPr>
        <w:pStyle w:val="Heading1"/>
        <w:numPr>
          <w:ilvl w:val="0"/>
          <w:numId w:val="0"/>
        </w:numPr>
        <w:ind w:left="720"/>
        <w:rPr>
          <w:b w:val="0"/>
          <w:bCs w:val="0"/>
          <w:sz w:val="22"/>
          <w:szCs w:val="22"/>
        </w:rPr>
      </w:pPr>
    </w:p>
    <w:p w14:paraId="2D071A7B" w14:textId="77777777" w:rsidR="00AB2AC6" w:rsidRDefault="00AB2AC6" w:rsidP="004F64D3">
      <w:pPr>
        <w:pStyle w:val="Heading1"/>
        <w:numPr>
          <w:ilvl w:val="0"/>
          <w:numId w:val="0"/>
        </w:numPr>
        <w:ind w:left="720"/>
        <w:rPr>
          <w:b w:val="0"/>
          <w:bCs w:val="0"/>
          <w:sz w:val="22"/>
          <w:szCs w:val="22"/>
        </w:rPr>
      </w:pPr>
    </w:p>
    <w:p w14:paraId="17278D0C" w14:textId="77777777" w:rsidR="00AB2AC6" w:rsidRDefault="00AB2AC6" w:rsidP="004F64D3">
      <w:pPr>
        <w:pStyle w:val="Heading1"/>
        <w:numPr>
          <w:ilvl w:val="0"/>
          <w:numId w:val="0"/>
        </w:numPr>
        <w:ind w:left="720"/>
        <w:rPr>
          <w:b w:val="0"/>
          <w:bCs w:val="0"/>
          <w:sz w:val="22"/>
          <w:szCs w:val="22"/>
        </w:rPr>
      </w:pPr>
    </w:p>
    <w:p w14:paraId="2B746FC7" w14:textId="77777777" w:rsidR="00AB2AC6" w:rsidRDefault="00AB2AC6" w:rsidP="004F64D3">
      <w:pPr>
        <w:pStyle w:val="Heading1"/>
        <w:numPr>
          <w:ilvl w:val="0"/>
          <w:numId w:val="0"/>
        </w:numPr>
        <w:ind w:left="720"/>
        <w:rPr>
          <w:b w:val="0"/>
          <w:bCs w:val="0"/>
          <w:sz w:val="22"/>
          <w:szCs w:val="22"/>
        </w:rPr>
      </w:pPr>
    </w:p>
    <w:p w14:paraId="30903A08" w14:textId="77777777" w:rsidR="00AB2AC6" w:rsidRDefault="00AB2AC6" w:rsidP="004F64D3">
      <w:pPr>
        <w:pStyle w:val="Heading1"/>
        <w:numPr>
          <w:ilvl w:val="0"/>
          <w:numId w:val="0"/>
        </w:numPr>
        <w:ind w:left="720"/>
        <w:rPr>
          <w:b w:val="0"/>
          <w:bCs w:val="0"/>
          <w:sz w:val="22"/>
          <w:szCs w:val="22"/>
        </w:rPr>
      </w:pPr>
    </w:p>
    <w:p w14:paraId="637DC0B3" w14:textId="77777777" w:rsidR="00AB2AC6" w:rsidRDefault="00AB2AC6" w:rsidP="004F64D3">
      <w:pPr>
        <w:pStyle w:val="Heading1"/>
        <w:numPr>
          <w:ilvl w:val="0"/>
          <w:numId w:val="0"/>
        </w:numPr>
        <w:ind w:left="720"/>
        <w:rPr>
          <w:b w:val="0"/>
          <w:bCs w:val="0"/>
          <w:sz w:val="22"/>
          <w:szCs w:val="22"/>
        </w:rPr>
      </w:pPr>
    </w:p>
    <w:p w14:paraId="13EE2C0B" w14:textId="77777777" w:rsidR="00AB2AC6" w:rsidRDefault="00AB2AC6" w:rsidP="004F64D3">
      <w:pPr>
        <w:pStyle w:val="Heading1"/>
        <w:numPr>
          <w:ilvl w:val="0"/>
          <w:numId w:val="0"/>
        </w:numPr>
        <w:ind w:left="720"/>
        <w:rPr>
          <w:b w:val="0"/>
          <w:bCs w:val="0"/>
          <w:sz w:val="22"/>
          <w:szCs w:val="22"/>
        </w:rPr>
      </w:pPr>
    </w:p>
    <w:p w14:paraId="52E29726" w14:textId="77777777" w:rsidR="00AB2AC6" w:rsidRDefault="00AB2AC6" w:rsidP="00AB2AC6">
      <w:pPr>
        <w:spacing w:after="0"/>
        <w:rPr>
          <w:rFonts w:ascii="TheSans Spire Light" w:hAnsi="TheSans Spire Light"/>
        </w:rPr>
      </w:pPr>
    </w:p>
    <w:p w14:paraId="393DAA39" w14:textId="77777777" w:rsidR="00AB2AC6" w:rsidRDefault="00AB2AC6" w:rsidP="00AB2AC6">
      <w:pPr>
        <w:spacing w:after="0"/>
        <w:rPr>
          <w:rFonts w:ascii="TheSans Spire Light" w:hAnsi="TheSans Spire Light"/>
        </w:rPr>
      </w:pPr>
    </w:p>
    <w:p w14:paraId="6DD96CF3" w14:textId="77777777" w:rsidR="00AB2AC6" w:rsidRDefault="00AB2AC6" w:rsidP="00AB2AC6">
      <w:pPr>
        <w:spacing w:after="0"/>
        <w:rPr>
          <w:rFonts w:ascii="TheSans Spire Light" w:hAnsi="TheSans Spire Light"/>
        </w:rPr>
      </w:pPr>
    </w:p>
    <w:p w14:paraId="289441C7" w14:textId="77777777" w:rsidR="00AB2AC6" w:rsidRDefault="00AB2AC6" w:rsidP="00AB2AC6">
      <w:pPr>
        <w:spacing w:after="0"/>
        <w:rPr>
          <w:rFonts w:ascii="TheSans Spire Light" w:hAnsi="TheSans Spire Light"/>
        </w:rPr>
      </w:pPr>
    </w:p>
    <w:p w14:paraId="1ACCB993" w14:textId="77777777" w:rsidR="00AB2AC6" w:rsidRDefault="00AB2AC6" w:rsidP="00AB2AC6">
      <w:pPr>
        <w:spacing w:after="0"/>
        <w:rPr>
          <w:rFonts w:ascii="TheSans Spire Light" w:hAnsi="TheSans Spire Light"/>
        </w:rPr>
      </w:pPr>
    </w:p>
    <w:p w14:paraId="3B69872A" w14:textId="305FC8AF" w:rsidR="00AB2AC6" w:rsidRPr="009616C7" w:rsidRDefault="00AB2AC6" w:rsidP="00AB2AC6">
      <w:pPr>
        <w:spacing w:after="0"/>
        <w:rPr>
          <w:rFonts w:ascii="TheSans Spire Light" w:hAnsi="TheSans Spire Light"/>
        </w:rPr>
      </w:pPr>
      <w:r w:rsidRPr="009616C7">
        <w:rPr>
          <w:rFonts w:ascii="TheSans Spire Light" w:hAnsi="TheSans Spire Light"/>
        </w:rPr>
        <w:lastRenderedPageBreak/>
        <w:t>Please complete the quality assessment below.</w:t>
      </w:r>
    </w:p>
    <w:p w14:paraId="5A7322D5" w14:textId="77777777" w:rsidR="00AB2AC6" w:rsidRDefault="00AB2AC6" w:rsidP="00AB2AC6">
      <w:pPr>
        <w:spacing w:after="0"/>
        <w:rPr>
          <w:rFonts w:ascii="TheSans Spire Light" w:hAnsi="TheSans Spire Light"/>
          <w:b/>
          <w:color w:val="008385"/>
        </w:rPr>
      </w:pPr>
    </w:p>
    <w:p w14:paraId="0E0C37A6" w14:textId="77777777" w:rsidR="00AB2AC6" w:rsidRPr="00345028" w:rsidRDefault="00AB2AC6" w:rsidP="00AB2AC6">
      <w:pPr>
        <w:shd w:val="clear" w:color="auto" w:fill="008385"/>
        <w:spacing w:after="0"/>
        <w:rPr>
          <w:rFonts w:ascii="TheSans Spire Light" w:hAnsi="TheSans Spire Light"/>
          <w:b/>
          <w:color w:val="FFFFFF" w:themeColor="background1"/>
        </w:rPr>
      </w:pPr>
      <w:r w:rsidRPr="00345028">
        <w:rPr>
          <w:rFonts w:ascii="TheSans Spire Light" w:hAnsi="TheSans Spire Light"/>
          <w:b/>
          <w:color w:val="FFFFFF" w:themeColor="background1"/>
        </w:rPr>
        <w:t>Quality Assessment</w:t>
      </w:r>
    </w:p>
    <w:p w14:paraId="05BF8EDC" w14:textId="77777777" w:rsidR="00AB2AC6" w:rsidRDefault="00AB2AC6" w:rsidP="00AB2AC6">
      <w:pPr>
        <w:spacing w:after="0"/>
        <w:rPr>
          <w:rFonts w:ascii="TheSans Spire Light" w:hAnsi="TheSans Spire Light"/>
        </w:rPr>
      </w:pPr>
    </w:p>
    <w:tbl>
      <w:tblPr>
        <w:tblStyle w:val="TableGrid"/>
        <w:tblW w:w="9781" w:type="dxa"/>
        <w:tblBorders>
          <w:top w:val="single" w:sz="48" w:space="0" w:color="FFFFFF" w:themeColor="background1"/>
          <w:left w:val="none" w:sz="0" w:space="0" w:color="auto"/>
          <w:bottom w:val="single" w:sz="48" w:space="0" w:color="FFFFFF" w:themeColor="background1"/>
          <w:right w:val="none" w:sz="0" w:space="0" w:color="auto"/>
          <w:insideH w:val="single" w:sz="48" w:space="0" w:color="FFFFFF" w:themeColor="background1"/>
          <w:insideV w:val="single" w:sz="48" w:space="0" w:color="FFFFFF" w:themeColor="background1"/>
        </w:tblBorders>
        <w:tblLook w:val="04A0" w:firstRow="1" w:lastRow="0" w:firstColumn="1" w:lastColumn="0" w:noHBand="0" w:noVBand="1"/>
      </w:tblPr>
      <w:tblGrid>
        <w:gridCol w:w="3686"/>
        <w:gridCol w:w="6095"/>
      </w:tblGrid>
      <w:tr w:rsidR="00AB2AC6" w:rsidRPr="00BF7136" w14:paraId="2C9B95B6" w14:textId="77777777" w:rsidTr="00BE34F8">
        <w:trPr>
          <w:trHeight w:val="270"/>
        </w:trPr>
        <w:tc>
          <w:tcPr>
            <w:tcW w:w="3686" w:type="dxa"/>
            <w:shd w:val="clear" w:color="auto" w:fill="008385"/>
            <w:noWrap/>
            <w:vAlign w:val="center"/>
          </w:tcPr>
          <w:p w14:paraId="20D84033" w14:textId="77777777" w:rsidR="00AB2AC6" w:rsidRPr="00BF7136" w:rsidRDefault="00AB2AC6" w:rsidP="00BE34F8">
            <w:pPr>
              <w:jc w:val="right"/>
              <w:rPr>
                <w:rFonts w:ascii="TheSans Spire Light" w:hAnsi="TheSans Spire Light" w:cstheme="minorHAnsi"/>
                <w:color w:val="FFFFFF" w:themeColor="background1"/>
                <w:sz w:val="20"/>
                <w:szCs w:val="20"/>
              </w:rPr>
            </w:pPr>
            <w:r w:rsidRPr="00BF7136">
              <w:rPr>
                <w:rFonts w:ascii="TheSans Spire Light" w:hAnsi="TheSans Spire Light" w:cstheme="minorHAnsi"/>
                <w:color w:val="FFFFFF" w:themeColor="background1"/>
                <w:sz w:val="20"/>
                <w:szCs w:val="20"/>
              </w:rPr>
              <w:t>Reference:</w:t>
            </w:r>
          </w:p>
        </w:tc>
        <w:tc>
          <w:tcPr>
            <w:tcW w:w="6095" w:type="dxa"/>
            <w:vAlign w:val="center"/>
          </w:tcPr>
          <w:p w14:paraId="2323B9CC" w14:textId="253D0930" w:rsidR="00AB2AC6" w:rsidRPr="00BF7136" w:rsidRDefault="001A46AA" w:rsidP="00BE34F8">
            <w:pPr>
              <w:ind w:left="94"/>
              <w:rPr>
                <w:rFonts w:ascii="TheSans Spire Light" w:hAnsi="TheSans Spire Light" w:cstheme="minorHAnsi"/>
                <w:color w:val="3B3838" w:themeColor="background2" w:themeShade="40"/>
                <w:sz w:val="20"/>
                <w:szCs w:val="20"/>
              </w:rPr>
            </w:pPr>
            <w:r>
              <w:rPr>
                <w:rFonts w:ascii="TheSans Spire Light" w:hAnsi="TheSans Spire Light" w:cstheme="minorHAnsi"/>
                <w:color w:val="3B3838" w:themeColor="background2" w:themeShade="40"/>
                <w:sz w:val="20"/>
                <w:szCs w:val="20"/>
              </w:rPr>
              <w:t>Clini 103</w:t>
            </w:r>
          </w:p>
        </w:tc>
      </w:tr>
      <w:tr w:rsidR="00AB2AC6" w:rsidRPr="00BF7136" w14:paraId="688739EE" w14:textId="77777777" w:rsidTr="00BE34F8">
        <w:trPr>
          <w:trHeight w:val="255"/>
        </w:trPr>
        <w:tc>
          <w:tcPr>
            <w:tcW w:w="3686" w:type="dxa"/>
            <w:shd w:val="clear" w:color="auto" w:fill="008385"/>
            <w:noWrap/>
            <w:vAlign w:val="center"/>
          </w:tcPr>
          <w:p w14:paraId="67CB2F59" w14:textId="77777777" w:rsidR="00AB2AC6" w:rsidRPr="00BF7136" w:rsidRDefault="00AB2AC6" w:rsidP="00BE34F8">
            <w:pPr>
              <w:jc w:val="right"/>
              <w:rPr>
                <w:rFonts w:ascii="TheSans Spire Light" w:hAnsi="TheSans Spire Light" w:cstheme="minorHAnsi"/>
                <w:color w:val="FFFFFF" w:themeColor="background1"/>
                <w:sz w:val="20"/>
                <w:szCs w:val="20"/>
              </w:rPr>
            </w:pPr>
            <w:r>
              <w:rPr>
                <w:rFonts w:ascii="TheSans Spire Light" w:hAnsi="TheSans Spire Light" w:cstheme="minorHAnsi"/>
                <w:color w:val="FFFFFF" w:themeColor="background1"/>
                <w:sz w:val="20"/>
                <w:szCs w:val="20"/>
              </w:rPr>
              <w:t>Policy n</w:t>
            </w:r>
            <w:r w:rsidRPr="00BF7136">
              <w:rPr>
                <w:rFonts w:ascii="TheSans Spire Light" w:hAnsi="TheSans Spire Light" w:cstheme="minorHAnsi"/>
                <w:color w:val="FFFFFF" w:themeColor="background1"/>
                <w:sz w:val="20"/>
                <w:szCs w:val="20"/>
              </w:rPr>
              <w:t>ame:</w:t>
            </w:r>
          </w:p>
        </w:tc>
        <w:tc>
          <w:tcPr>
            <w:tcW w:w="6095" w:type="dxa"/>
            <w:vAlign w:val="center"/>
          </w:tcPr>
          <w:p w14:paraId="78E44710" w14:textId="4A752C4E" w:rsidR="00AB2AC6" w:rsidRPr="00BF7136" w:rsidRDefault="00CA69E3" w:rsidP="00BE34F8">
            <w:pPr>
              <w:ind w:left="94"/>
              <w:rPr>
                <w:rFonts w:ascii="TheSans Spire Light" w:hAnsi="TheSans Spire Light" w:cstheme="minorHAnsi"/>
                <w:color w:val="3B3838" w:themeColor="background2" w:themeShade="40"/>
                <w:sz w:val="20"/>
                <w:szCs w:val="20"/>
              </w:rPr>
            </w:pPr>
            <w:r>
              <w:rPr>
                <w:rFonts w:ascii="TheSans Spire Light" w:hAnsi="TheSans Spire Light" w:cstheme="minorHAnsi"/>
                <w:color w:val="3B3838" w:themeColor="background2" w:themeShade="40"/>
                <w:sz w:val="20"/>
                <w:szCs w:val="20"/>
              </w:rPr>
              <w:t>PSIRF Policy</w:t>
            </w:r>
          </w:p>
        </w:tc>
      </w:tr>
      <w:tr w:rsidR="00AB2AC6" w:rsidRPr="00BF7136" w14:paraId="7A6E6C96" w14:textId="77777777" w:rsidTr="00BE34F8">
        <w:trPr>
          <w:trHeight w:val="255"/>
        </w:trPr>
        <w:tc>
          <w:tcPr>
            <w:tcW w:w="3686" w:type="dxa"/>
            <w:shd w:val="clear" w:color="auto" w:fill="008385"/>
            <w:noWrap/>
            <w:vAlign w:val="center"/>
          </w:tcPr>
          <w:p w14:paraId="26C648E3" w14:textId="77777777" w:rsidR="00AB2AC6" w:rsidRPr="00BF7136" w:rsidRDefault="00AB2AC6" w:rsidP="00BE34F8">
            <w:pPr>
              <w:jc w:val="right"/>
              <w:rPr>
                <w:rFonts w:ascii="TheSans Spire Light" w:hAnsi="TheSans Spire Light" w:cstheme="minorHAnsi"/>
                <w:color w:val="FFFFFF" w:themeColor="background1"/>
                <w:sz w:val="20"/>
                <w:szCs w:val="20"/>
              </w:rPr>
            </w:pPr>
            <w:r>
              <w:rPr>
                <w:rFonts w:ascii="TheSans Spire Light" w:hAnsi="TheSans Spire Light" w:cstheme="minorHAnsi"/>
                <w:color w:val="FFFFFF" w:themeColor="background1"/>
                <w:sz w:val="20"/>
                <w:szCs w:val="20"/>
              </w:rPr>
              <w:t>Name of the person completing</w:t>
            </w:r>
            <w:r w:rsidRPr="00BF7136">
              <w:rPr>
                <w:rFonts w:ascii="TheSans Spire Light" w:hAnsi="TheSans Spire Light" w:cstheme="minorHAnsi"/>
                <w:color w:val="FFFFFF" w:themeColor="background1"/>
                <w:sz w:val="20"/>
                <w:szCs w:val="20"/>
              </w:rPr>
              <w:t>:</w:t>
            </w:r>
          </w:p>
        </w:tc>
        <w:tc>
          <w:tcPr>
            <w:tcW w:w="6095" w:type="dxa"/>
            <w:vAlign w:val="center"/>
          </w:tcPr>
          <w:p w14:paraId="1FE6F5BF" w14:textId="10C8A948" w:rsidR="00AB2AC6" w:rsidRPr="00BF7136" w:rsidRDefault="00CA69E3" w:rsidP="00BE34F8">
            <w:pPr>
              <w:ind w:left="94"/>
              <w:rPr>
                <w:rFonts w:ascii="TheSans Spire Light" w:hAnsi="TheSans Spire Light" w:cstheme="minorHAnsi"/>
                <w:color w:val="3B3838" w:themeColor="background2" w:themeShade="40"/>
                <w:sz w:val="20"/>
                <w:szCs w:val="20"/>
              </w:rPr>
            </w:pPr>
            <w:r>
              <w:rPr>
                <w:rFonts w:ascii="TheSans Spire Light" w:hAnsi="TheSans Spire Light" w:cstheme="minorHAnsi"/>
                <w:color w:val="3B3838" w:themeColor="background2" w:themeShade="40"/>
                <w:sz w:val="20"/>
                <w:szCs w:val="20"/>
              </w:rPr>
              <w:t>Matthew Minter</w:t>
            </w:r>
          </w:p>
        </w:tc>
      </w:tr>
      <w:tr w:rsidR="00AB2AC6" w:rsidRPr="00BF7136" w14:paraId="275FE9E8" w14:textId="77777777" w:rsidTr="00BE34F8">
        <w:trPr>
          <w:trHeight w:val="255"/>
        </w:trPr>
        <w:tc>
          <w:tcPr>
            <w:tcW w:w="3686" w:type="dxa"/>
            <w:shd w:val="clear" w:color="auto" w:fill="008385"/>
            <w:noWrap/>
            <w:vAlign w:val="center"/>
          </w:tcPr>
          <w:p w14:paraId="7948AC47" w14:textId="77777777" w:rsidR="00AB2AC6" w:rsidRPr="00BF7136" w:rsidRDefault="00AB2AC6" w:rsidP="00BE34F8">
            <w:pPr>
              <w:jc w:val="right"/>
              <w:rPr>
                <w:rFonts w:ascii="TheSans Spire Light" w:hAnsi="TheSans Spire Light" w:cstheme="minorHAnsi"/>
                <w:color w:val="FFFFFF" w:themeColor="background1"/>
                <w:sz w:val="20"/>
                <w:szCs w:val="20"/>
              </w:rPr>
            </w:pPr>
            <w:r>
              <w:rPr>
                <w:rFonts w:ascii="TheSans Spire Light" w:hAnsi="TheSans Spire Light" w:cstheme="minorHAnsi"/>
                <w:color w:val="FFFFFF" w:themeColor="background1"/>
                <w:sz w:val="20"/>
                <w:szCs w:val="20"/>
              </w:rPr>
              <w:t>Who has been consulted on this policy</w:t>
            </w:r>
            <w:r w:rsidRPr="00BF7136">
              <w:rPr>
                <w:rFonts w:ascii="TheSans Spire Light" w:hAnsi="TheSans Spire Light" w:cstheme="minorHAnsi"/>
                <w:color w:val="FFFFFF" w:themeColor="background1"/>
                <w:sz w:val="20"/>
                <w:szCs w:val="20"/>
              </w:rPr>
              <w:t>:</w:t>
            </w:r>
          </w:p>
        </w:tc>
        <w:tc>
          <w:tcPr>
            <w:tcW w:w="6095" w:type="dxa"/>
            <w:vAlign w:val="center"/>
          </w:tcPr>
          <w:p w14:paraId="74060E4F" w14:textId="64A1F2FD" w:rsidR="00AB2AC6" w:rsidRPr="00BF7136" w:rsidRDefault="00CA69E3" w:rsidP="00BE34F8">
            <w:pPr>
              <w:ind w:left="94"/>
              <w:rPr>
                <w:rFonts w:ascii="TheSans Spire Light" w:hAnsi="TheSans Spire Light" w:cstheme="minorHAnsi"/>
                <w:color w:val="3B3838" w:themeColor="background2" w:themeShade="40"/>
                <w:sz w:val="20"/>
                <w:szCs w:val="20"/>
              </w:rPr>
            </w:pPr>
            <w:r>
              <w:rPr>
                <w:rFonts w:ascii="TheSans Spire Light" w:hAnsi="TheSans Spire Light" w:cstheme="minorHAnsi"/>
                <w:color w:val="3B3838" w:themeColor="background2" w:themeShade="40"/>
                <w:sz w:val="20"/>
                <w:szCs w:val="20"/>
              </w:rPr>
              <w:t>All stakeholders overseen by PSIRF Programme Board</w:t>
            </w:r>
          </w:p>
        </w:tc>
      </w:tr>
      <w:tr w:rsidR="00AB2AC6" w:rsidRPr="00BF7136" w14:paraId="0CE035E5" w14:textId="77777777" w:rsidTr="00BE34F8">
        <w:trPr>
          <w:trHeight w:val="255"/>
        </w:trPr>
        <w:tc>
          <w:tcPr>
            <w:tcW w:w="3686" w:type="dxa"/>
            <w:shd w:val="clear" w:color="auto" w:fill="008385"/>
            <w:noWrap/>
            <w:vAlign w:val="center"/>
          </w:tcPr>
          <w:p w14:paraId="259D30D7" w14:textId="77777777" w:rsidR="00AB2AC6" w:rsidRPr="00BF7136" w:rsidRDefault="00AB2AC6" w:rsidP="00BE34F8">
            <w:pPr>
              <w:jc w:val="right"/>
              <w:rPr>
                <w:rFonts w:ascii="TheSans Spire Light" w:hAnsi="TheSans Spire Light" w:cstheme="minorHAnsi"/>
                <w:color w:val="FFFFFF" w:themeColor="background1"/>
                <w:sz w:val="20"/>
                <w:szCs w:val="20"/>
              </w:rPr>
            </w:pPr>
            <w:r>
              <w:rPr>
                <w:rFonts w:ascii="TheSans Spire Light" w:hAnsi="TheSans Spire Light" w:cstheme="minorHAnsi"/>
                <w:color w:val="FFFFFF" w:themeColor="background1"/>
                <w:sz w:val="20"/>
                <w:szCs w:val="20"/>
              </w:rPr>
              <w:t>Director owning the policy (job title):</w:t>
            </w:r>
          </w:p>
        </w:tc>
        <w:tc>
          <w:tcPr>
            <w:tcW w:w="6095" w:type="dxa"/>
            <w:vAlign w:val="center"/>
          </w:tcPr>
          <w:p w14:paraId="1A676D7E" w14:textId="1D07471A" w:rsidR="00AB2AC6" w:rsidRPr="00BF7136" w:rsidRDefault="00CA69E3" w:rsidP="00CA69E3">
            <w:pPr>
              <w:ind w:left="94"/>
              <w:rPr>
                <w:rFonts w:ascii="TheSans Spire Light" w:hAnsi="TheSans Spire Light" w:cstheme="minorHAnsi"/>
                <w:color w:val="3B3838" w:themeColor="background2" w:themeShade="40"/>
                <w:sz w:val="20"/>
                <w:szCs w:val="20"/>
              </w:rPr>
            </w:pPr>
            <w:r w:rsidRPr="00CA69E3">
              <w:rPr>
                <w:rFonts w:ascii="TheSans Spire Light" w:hAnsi="TheSans Spire Light" w:cstheme="minorHAnsi"/>
                <w:color w:val="3B3838" w:themeColor="background2" w:themeShade="40"/>
                <w:sz w:val="20"/>
                <w:szCs w:val="20"/>
              </w:rPr>
              <w:t>Spire Healthcare Group Director of Integrated Quality Governance </w:t>
            </w:r>
          </w:p>
        </w:tc>
      </w:tr>
      <w:tr w:rsidR="00AB2AC6" w:rsidRPr="00BF7136" w14:paraId="29D81789" w14:textId="77777777" w:rsidTr="00BE34F8">
        <w:trPr>
          <w:trHeight w:val="255"/>
        </w:trPr>
        <w:tc>
          <w:tcPr>
            <w:tcW w:w="3686" w:type="dxa"/>
            <w:shd w:val="clear" w:color="auto" w:fill="008385"/>
            <w:noWrap/>
            <w:vAlign w:val="center"/>
          </w:tcPr>
          <w:p w14:paraId="108051BC" w14:textId="77777777" w:rsidR="00AB2AC6" w:rsidRPr="00BF7136" w:rsidRDefault="00AB2AC6" w:rsidP="00BE34F8">
            <w:pPr>
              <w:jc w:val="right"/>
              <w:rPr>
                <w:rFonts w:ascii="TheSans Spire Light" w:hAnsi="TheSans Spire Light" w:cstheme="minorHAnsi"/>
                <w:color w:val="FFFFFF" w:themeColor="background1"/>
                <w:sz w:val="20"/>
                <w:szCs w:val="20"/>
              </w:rPr>
            </w:pPr>
            <w:r>
              <w:rPr>
                <w:rFonts w:ascii="TheSans Spire Light" w:hAnsi="TheSans Spire Light" w:cstheme="minorHAnsi"/>
                <w:color w:val="FFFFFF" w:themeColor="background1"/>
                <w:sz w:val="20"/>
                <w:szCs w:val="20"/>
              </w:rPr>
              <w:t>Directors name</w:t>
            </w:r>
            <w:r w:rsidRPr="00BF7136">
              <w:rPr>
                <w:rFonts w:ascii="TheSans Spire Light" w:hAnsi="TheSans Spire Light" w:cstheme="minorHAnsi"/>
                <w:color w:val="FFFFFF" w:themeColor="background1"/>
                <w:sz w:val="20"/>
                <w:szCs w:val="20"/>
              </w:rPr>
              <w:t>:</w:t>
            </w:r>
          </w:p>
        </w:tc>
        <w:tc>
          <w:tcPr>
            <w:tcW w:w="6095" w:type="dxa"/>
            <w:vAlign w:val="center"/>
          </w:tcPr>
          <w:p w14:paraId="25CC4DF9" w14:textId="356E2A83" w:rsidR="00AB2AC6" w:rsidRPr="00BF7136" w:rsidRDefault="00CA69E3" w:rsidP="00BE34F8">
            <w:pPr>
              <w:ind w:left="94"/>
              <w:rPr>
                <w:rFonts w:ascii="TheSans Spire Light" w:hAnsi="TheSans Spire Light" w:cstheme="minorHAnsi"/>
                <w:color w:val="3B3838" w:themeColor="background2" w:themeShade="40"/>
                <w:sz w:val="20"/>
                <w:szCs w:val="20"/>
              </w:rPr>
            </w:pPr>
            <w:r>
              <w:rPr>
                <w:rFonts w:ascii="TheSans Spire Light" w:hAnsi="TheSans Spire Light" w:cstheme="minorHAnsi"/>
                <w:color w:val="3B3838" w:themeColor="background2" w:themeShade="40"/>
                <w:sz w:val="20"/>
                <w:szCs w:val="20"/>
              </w:rPr>
              <w:t>Maryellen Dean</w:t>
            </w:r>
          </w:p>
        </w:tc>
      </w:tr>
    </w:tbl>
    <w:p w14:paraId="620BA095" w14:textId="77777777" w:rsidR="00AB2AC6" w:rsidRDefault="00AB2AC6" w:rsidP="00AB2AC6">
      <w:pPr>
        <w:spacing w:after="0"/>
        <w:rPr>
          <w:rFonts w:ascii="TheSans Spire Light" w:hAnsi="TheSans Spire Light"/>
        </w:rPr>
      </w:pPr>
    </w:p>
    <w:p w14:paraId="731C6EB5" w14:textId="64D86BB6" w:rsidR="00AB2AC6" w:rsidRPr="000876ED" w:rsidRDefault="00AB2AC6" w:rsidP="00AB2AC6">
      <w:pPr>
        <w:spacing w:after="0"/>
        <w:rPr>
          <w:rFonts w:ascii="TheSans Spire Light" w:hAnsi="TheSans Spire Light"/>
          <w:color w:val="008385"/>
        </w:rPr>
      </w:pPr>
      <w:r>
        <w:rPr>
          <w:rFonts w:ascii="TheSans Spire Light" w:hAnsi="TheSans Spire Light"/>
          <w:color w:val="008385"/>
        </w:rPr>
        <w:t>Has the executive</w:t>
      </w:r>
      <w:r w:rsidRPr="00836D8E">
        <w:rPr>
          <w:rFonts w:ascii="TheSans Spire Light" w:hAnsi="TheSans Spire Light"/>
          <w:color w:val="008385"/>
        </w:rPr>
        <w:t xml:space="preserve"> responsible for this policy seen and approved this policy?</w:t>
      </w:r>
      <w:r>
        <w:rPr>
          <w:rFonts w:ascii="TheSans Spire Light" w:hAnsi="TheSans Spire Light"/>
          <w:color w:val="008385"/>
        </w:rPr>
        <w:tab/>
      </w:r>
      <w:r>
        <w:rPr>
          <w:rFonts w:ascii="TheSans Spire Light" w:hAnsi="TheSans Spire Light"/>
          <w:color w:val="008385"/>
        </w:rPr>
        <w:tab/>
        <w:t>Yes</w:t>
      </w:r>
      <w:r>
        <w:rPr>
          <w:rFonts w:ascii="TheSans Spire Light" w:hAnsi="TheSans Spire Light"/>
          <w:color w:val="008385"/>
        </w:rPr>
        <w:tab/>
      </w:r>
      <w:sdt>
        <w:sdtPr>
          <w:rPr>
            <w:rFonts w:ascii="TheSans Spire Light" w:hAnsi="TheSans Spire Light"/>
            <w:color w:val="008385"/>
          </w:rPr>
          <w:id w:val="-622545871"/>
          <w14:checkbox>
            <w14:checked w14:val="1"/>
            <w14:checkedState w14:val="2612" w14:font="MS Gothic"/>
            <w14:uncheckedState w14:val="2610" w14:font="MS Gothic"/>
          </w14:checkbox>
        </w:sdtPr>
        <w:sdtEndPr/>
        <w:sdtContent>
          <w:r w:rsidR="00CA69E3">
            <w:rPr>
              <w:rFonts w:ascii="MS Gothic" w:eastAsia="MS Gothic" w:hAnsi="MS Gothic" w:hint="eastAsia"/>
              <w:color w:val="008385"/>
            </w:rPr>
            <w:t>☒</w:t>
          </w:r>
        </w:sdtContent>
      </w:sdt>
      <w:r>
        <w:rPr>
          <w:rFonts w:ascii="TheSans Spire Light" w:hAnsi="TheSans Spire Light"/>
          <w:color w:val="008385"/>
        </w:rPr>
        <w:tab/>
        <w:t xml:space="preserve">No      </w:t>
      </w:r>
      <w:sdt>
        <w:sdtPr>
          <w:rPr>
            <w:rFonts w:ascii="TheSans Spire Light" w:hAnsi="TheSans Spire Light"/>
            <w:color w:val="008385"/>
          </w:rPr>
          <w:id w:val="408806266"/>
          <w14:checkbox>
            <w14:checked w14:val="0"/>
            <w14:checkedState w14:val="2612" w14:font="MS Gothic"/>
            <w14:uncheckedState w14:val="2610" w14:font="MS Gothic"/>
          </w14:checkbox>
        </w:sdtPr>
        <w:sdtEndPr/>
        <w:sdtContent>
          <w:r>
            <w:rPr>
              <w:rFonts w:ascii="MS Gothic" w:eastAsia="MS Gothic" w:hAnsi="MS Gothic" w:hint="eastAsia"/>
              <w:color w:val="008385"/>
            </w:rPr>
            <w:t>☐</w:t>
          </w:r>
        </w:sdtContent>
      </w:sdt>
    </w:p>
    <w:tbl>
      <w:tblPr>
        <w:tblStyle w:val="TableGrid"/>
        <w:tblW w:w="10480" w:type="dxa"/>
        <w:tblBorders>
          <w:top w:val="single" w:sz="8" w:space="0" w:color="008385"/>
          <w:left w:val="single" w:sz="8" w:space="0" w:color="008385"/>
          <w:bottom w:val="single" w:sz="8" w:space="0" w:color="008385"/>
          <w:right w:val="single" w:sz="8" w:space="0" w:color="008385"/>
          <w:insideH w:val="single" w:sz="48" w:space="0" w:color="FFFFFF" w:themeColor="background1"/>
          <w:insideV w:val="single" w:sz="8" w:space="0" w:color="008385"/>
        </w:tblBorders>
        <w:shd w:val="clear" w:color="auto" w:fill="F0FAFA"/>
        <w:tblLook w:val="04A0" w:firstRow="1" w:lastRow="0" w:firstColumn="1" w:lastColumn="0" w:noHBand="0" w:noVBand="1"/>
      </w:tblPr>
      <w:tblGrid>
        <w:gridCol w:w="1975"/>
        <w:gridCol w:w="5386"/>
        <w:gridCol w:w="851"/>
        <w:gridCol w:w="2268"/>
      </w:tblGrid>
      <w:tr w:rsidR="00AB2AC6" w:rsidRPr="000876ED" w14:paraId="483EC9EA" w14:textId="77777777" w:rsidTr="00BE34F8">
        <w:trPr>
          <w:trHeight w:val="255"/>
        </w:trPr>
        <w:tc>
          <w:tcPr>
            <w:tcW w:w="1975" w:type="dxa"/>
            <w:shd w:val="clear" w:color="auto" w:fill="F0FAFA"/>
            <w:noWrap/>
            <w:vAlign w:val="center"/>
          </w:tcPr>
          <w:p w14:paraId="24D01C41" w14:textId="77777777" w:rsidR="00AB2AC6" w:rsidRPr="000876ED" w:rsidRDefault="00AB2AC6" w:rsidP="00BE34F8">
            <w:pPr>
              <w:rPr>
                <w:rFonts w:ascii="TheSans Spire Light" w:hAnsi="TheSans Spire Light" w:cstheme="minorHAnsi"/>
                <w:color w:val="3B3838" w:themeColor="background2" w:themeShade="40"/>
                <w:sz w:val="20"/>
                <w:szCs w:val="20"/>
              </w:rPr>
            </w:pPr>
            <w:r w:rsidRPr="000876ED">
              <w:rPr>
                <w:rFonts w:ascii="TheSans Spire Light" w:hAnsi="TheSans Spire Light" w:cstheme="minorHAnsi"/>
                <w:color w:val="3B3838" w:themeColor="background2" w:themeShade="40"/>
                <w:sz w:val="20"/>
                <w:szCs w:val="20"/>
              </w:rPr>
              <w:t>Name of Director</w:t>
            </w:r>
          </w:p>
        </w:tc>
        <w:tc>
          <w:tcPr>
            <w:tcW w:w="5386" w:type="dxa"/>
            <w:shd w:val="clear" w:color="auto" w:fill="F0FAFA"/>
            <w:vAlign w:val="center"/>
          </w:tcPr>
          <w:p w14:paraId="5ED89EE3" w14:textId="580D4780" w:rsidR="00AB2AC6" w:rsidRPr="000876ED" w:rsidRDefault="00CA69E3" w:rsidP="00BE34F8">
            <w:pPr>
              <w:ind w:left="94"/>
              <w:rPr>
                <w:rFonts w:ascii="TheSans Spire Light" w:hAnsi="TheSans Spire Light" w:cstheme="minorHAnsi"/>
                <w:color w:val="3B3838" w:themeColor="background2" w:themeShade="40"/>
                <w:sz w:val="20"/>
                <w:szCs w:val="20"/>
              </w:rPr>
            </w:pPr>
            <w:r>
              <w:rPr>
                <w:rFonts w:ascii="TheSans Spire Light" w:hAnsi="TheSans Spire Light" w:cstheme="minorHAnsi"/>
                <w:color w:val="3B3838" w:themeColor="background2" w:themeShade="40"/>
                <w:sz w:val="20"/>
                <w:szCs w:val="20"/>
              </w:rPr>
              <w:t xml:space="preserve">Dr Cathy Cale </w:t>
            </w:r>
          </w:p>
        </w:tc>
        <w:tc>
          <w:tcPr>
            <w:tcW w:w="851" w:type="dxa"/>
            <w:shd w:val="clear" w:color="auto" w:fill="F0FAFA"/>
          </w:tcPr>
          <w:p w14:paraId="375449ED" w14:textId="77777777" w:rsidR="00AB2AC6" w:rsidRPr="000876ED" w:rsidRDefault="00AB2AC6" w:rsidP="00BE34F8">
            <w:pPr>
              <w:ind w:left="94"/>
              <w:rPr>
                <w:rFonts w:ascii="TheSans Spire Light" w:hAnsi="TheSans Spire Light" w:cstheme="minorHAnsi"/>
                <w:color w:val="3B3838" w:themeColor="background2" w:themeShade="40"/>
                <w:sz w:val="20"/>
                <w:szCs w:val="20"/>
              </w:rPr>
            </w:pPr>
            <w:r>
              <w:rPr>
                <w:rFonts w:ascii="TheSans Spire Light" w:hAnsi="TheSans Spire Light" w:cstheme="minorHAnsi"/>
                <w:color w:val="3B3838" w:themeColor="background2" w:themeShade="40"/>
                <w:sz w:val="20"/>
                <w:szCs w:val="20"/>
              </w:rPr>
              <w:t>Date</w:t>
            </w:r>
          </w:p>
        </w:tc>
        <w:tc>
          <w:tcPr>
            <w:tcW w:w="2268" w:type="dxa"/>
            <w:shd w:val="clear" w:color="auto" w:fill="F0FAFA"/>
          </w:tcPr>
          <w:p w14:paraId="37A4CC4F" w14:textId="5A420FAF" w:rsidR="00AB2AC6" w:rsidRPr="000876ED" w:rsidRDefault="00CA69E3" w:rsidP="00BE34F8">
            <w:pPr>
              <w:ind w:left="94"/>
              <w:rPr>
                <w:rFonts w:ascii="TheSans Spire Light" w:hAnsi="TheSans Spire Light" w:cstheme="minorHAnsi"/>
                <w:color w:val="3B3838" w:themeColor="background2" w:themeShade="40"/>
                <w:sz w:val="20"/>
                <w:szCs w:val="20"/>
              </w:rPr>
            </w:pPr>
            <w:r>
              <w:rPr>
                <w:rFonts w:ascii="TheSans Spire Light" w:hAnsi="TheSans Spire Light" w:cstheme="minorHAnsi"/>
                <w:color w:val="3B3838" w:themeColor="background2" w:themeShade="40"/>
                <w:sz w:val="20"/>
                <w:szCs w:val="20"/>
              </w:rPr>
              <w:t>22/01/2023</w:t>
            </w:r>
          </w:p>
        </w:tc>
      </w:tr>
    </w:tbl>
    <w:p w14:paraId="2BD50055" w14:textId="77777777" w:rsidR="00AB2AC6" w:rsidRDefault="00AB2AC6" w:rsidP="00AB2AC6">
      <w:pPr>
        <w:spacing w:after="0"/>
        <w:rPr>
          <w:rFonts w:ascii="TheSans Spire Light" w:hAnsi="TheSans Spire Light"/>
        </w:rPr>
      </w:pPr>
    </w:p>
    <w:p w14:paraId="257A8D0E" w14:textId="77777777" w:rsidR="00AB2AC6" w:rsidRPr="000876ED" w:rsidRDefault="00AB2AC6" w:rsidP="00AB2AC6">
      <w:pPr>
        <w:spacing w:after="0"/>
        <w:rPr>
          <w:rFonts w:ascii="TheSans Spire Light" w:hAnsi="TheSans Spire Light"/>
          <w:color w:val="008385"/>
        </w:rPr>
      </w:pPr>
      <w:r>
        <w:rPr>
          <w:rFonts w:ascii="TheSans Spire Light" w:hAnsi="TheSans Spire Light"/>
          <w:color w:val="008385"/>
        </w:rPr>
        <w:t>W</w:t>
      </w:r>
      <w:r w:rsidRPr="00836D8E">
        <w:rPr>
          <w:rFonts w:ascii="TheSans Spire Light" w:hAnsi="TheSans Spire Light"/>
          <w:color w:val="008385"/>
        </w:rPr>
        <w:t>hich stakeholders have been involved in the development</w:t>
      </w:r>
      <w:r>
        <w:rPr>
          <w:rFonts w:ascii="TheSans Spire Light" w:hAnsi="TheSans Spire Light"/>
          <w:color w:val="008385"/>
        </w:rPr>
        <w:t xml:space="preserve"> </w:t>
      </w:r>
      <w:r w:rsidRPr="00836D8E">
        <w:rPr>
          <w:rFonts w:ascii="TheSans Spire Light" w:hAnsi="TheSans Spire Light"/>
          <w:color w:val="008385"/>
        </w:rPr>
        <w:t>/</w:t>
      </w:r>
      <w:r>
        <w:rPr>
          <w:rFonts w:ascii="TheSans Spire Light" w:hAnsi="TheSans Spire Light"/>
          <w:color w:val="008385"/>
        </w:rPr>
        <w:t xml:space="preserve"> </w:t>
      </w:r>
      <w:r w:rsidRPr="00836D8E">
        <w:rPr>
          <w:rFonts w:ascii="TheSans Spire Light" w:hAnsi="TheSans Spire Light"/>
          <w:color w:val="008385"/>
        </w:rPr>
        <w:t>review of this policy</w:t>
      </w:r>
      <w:r>
        <w:rPr>
          <w:rFonts w:ascii="TheSans Spire Light" w:hAnsi="TheSans Spire Light"/>
          <w:color w:val="008385"/>
        </w:rPr>
        <w:t>?</w:t>
      </w:r>
    </w:p>
    <w:tbl>
      <w:tblPr>
        <w:tblStyle w:val="TableGrid"/>
        <w:tblW w:w="10480" w:type="dxa"/>
        <w:tblBorders>
          <w:top w:val="single" w:sz="8" w:space="0" w:color="008385"/>
          <w:left w:val="single" w:sz="8" w:space="0" w:color="008385"/>
          <w:bottom w:val="single" w:sz="8" w:space="0" w:color="008385"/>
          <w:right w:val="single" w:sz="8" w:space="0" w:color="008385"/>
          <w:insideH w:val="single" w:sz="48" w:space="0" w:color="FFFFFF" w:themeColor="background1"/>
          <w:insideV w:val="single" w:sz="8" w:space="0" w:color="008385"/>
        </w:tblBorders>
        <w:shd w:val="clear" w:color="auto" w:fill="F0FAFA"/>
        <w:tblLook w:val="04A0" w:firstRow="1" w:lastRow="0" w:firstColumn="1" w:lastColumn="0" w:noHBand="0" w:noVBand="1"/>
      </w:tblPr>
      <w:tblGrid>
        <w:gridCol w:w="1985"/>
        <w:gridCol w:w="8495"/>
      </w:tblGrid>
      <w:tr w:rsidR="00AB2AC6" w:rsidRPr="000876ED" w14:paraId="0785830A" w14:textId="77777777" w:rsidTr="00BE34F8">
        <w:trPr>
          <w:trHeight w:val="255"/>
        </w:trPr>
        <w:tc>
          <w:tcPr>
            <w:tcW w:w="1985" w:type="dxa"/>
            <w:shd w:val="clear" w:color="auto" w:fill="F0FAFA"/>
            <w:noWrap/>
            <w:vAlign w:val="center"/>
          </w:tcPr>
          <w:p w14:paraId="69821332" w14:textId="77777777" w:rsidR="00AB2AC6" w:rsidRPr="000876ED" w:rsidRDefault="00AB2AC6" w:rsidP="00BE34F8">
            <w:pPr>
              <w:rPr>
                <w:rFonts w:ascii="TheSans Spire Light" w:hAnsi="TheSans Spire Light" w:cstheme="minorHAnsi"/>
                <w:color w:val="3B3838" w:themeColor="background2" w:themeShade="40"/>
                <w:sz w:val="20"/>
                <w:szCs w:val="20"/>
              </w:rPr>
            </w:pPr>
            <w:r>
              <w:rPr>
                <w:rFonts w:ascii="TheSans Spire Light" w:hAnsi="TheSans Spire Light" w:cstheme="minorHAnsi"/>
                <w:color w:val="3B3838" w:themeColor="background2" w:themeShade="40"/>
                <w:sz w:val="20"/>
                <w:szCs w:val="20"/>
              </w:rPr>
              <w:t>Please detail</w:t>
            </w:r>
          </w:p>
        </w:tc>
        <w:tc>
          <w:tcPr>
            <w:tcW w:w="8495" w:type="dxa"/>
            <w:shd w:val="clear" w:color="auto" w:fill="F0FAFA"/>
            <w:vAlign w:val="center"/>
          </w:tcPr>
          <w:p w14:paraId="3E275F73" w14:textId="6D84F7CA" w:rsidR="00AB2AC6" w:rsidRPr="000876ED" w:rsidRDefault="00CA69E3" w:rsidP="00BE34F8">
            <w:pPr>
              <w:ind w:left="94"/>
              <w:rPr>
                <w:rFonts w:ascii="TheSans Spire Light" w:hAnsi="TheSans Spire Light" w:cstheme="minorHAnsi"/>
                <w:color w:val="3B3838" w:themeColor="background2" w:themeShade="40"/>
                <w:sz w:val="20"/>
                <w:szCs w:val="20"/>
              </w:rPr>
            </w:pPr>
            <w:r>
              <w:rPr>
                <w:rFonts w:ascii="TheSans Spire Light" w:hAnsi="TheSans Spire Light" w:cstheme="minorHAnsi"/>
                <w:color w:val="3B3838" w:themeColor="background2" w:themeShade="40"/>
                <w:sz w:val="20"/>
                <w:szCs w:val="20"/>
              </w:rPr>
              <w:t>Group Medical Director, Director of Integrated Quality Governance, Governance Leads and Lead ICB</w:t>
            </w:r>
          </w:p>
        </w:tc>
      </w:tr>
    </w:tbl>
    <w:p w14:paraId="2800DC51" w14:textId="77777777" w:rsidR="00AB2AC6" w:rsidRDefault="00AB2AC6" w:rsidP="00AB2AC6">
      <w:pPr>
        <w:spacing w:after="0"/>
        <w:rPr>
          <w:rFonts w:ascii="TheSans Spire Light" w:hAnsi="TheSans Spire Light"/>
        </w:rPr>
      </w:pPr>
    </w:p>
    <w:p w14:paraId="4410E66B" w14:textId="77777777" w:rsidR="00AB2AC6" w:rsidRPr="000876ED" w:rsidRDefault="00AB2AC6" w:rsidP="00AB2AC6">
      <w:pPr>
        <w:spacing w:after="0"/>
        <w:rPr>
          <w:rFonts w:ascii="TheSans Spire Light" w:hAnsi="TheSans Spire Light"/>
          <w:color w:val="008385"/>
        </w:rPr>
      </w:pPr>
      <w:r>
        <w:rPr>
          <w:rFonts w:ascii="TheSans Spire Light" w:hAnsi="TheSans Spire Light"/>
          <w:color w:val="008385"/>
        </w:rPr>
        <w:t>How will compliance with this policy be monitored / audited?</w:t>
      </w:r>
      <w:r w:rsidRPr="000876ED">
        <w:rPr>
          <w:rFonts w:ascii="TheSans Spire Light" w:hAnsi="TheSans Spire Light"/>
          <w:color w:val="008385"/>
        </w:rPr>
        <w:tab/>
      </w:r>
      <w:r w:rsidRPr="000876ED">
        <w:rPr>
          <w:rFonts w:ascii="TheSans Spire Light" w:hAnsi="TheSans Spire Light"/>
          <w:color w:val="008385"/>
        </w:rPr>
        <w:tab/>
      </w:r>
    </w:p>
    <w:tbl>
      <w:tblPr>
        <w:tblStyle w:val="TableGrid"/>
        <w:tblW w:w="10480" w:type="dxa"/>
        <w:tblBorders>
          <w:top w:val="single" w:sz="8" w:space="0" w:color="008385"/>
          <w:left w:val="single" w:sz="8" w:space="0" w:color="008385"/>
          <w:bottom w:val="single" w:sz="8" w:space="0" w:color="008385"/>
          <w:right w:val="single" w:sz="8" w:space="0" w:color="008385"/>
          <w:insideH w:val="single" w:sz="48" w:space="0" w:color="FFFFFF" w:themeColor="background1"/>
          <w:insideV w:val="single" w:sz="8" w:space="0" w:color="008385"/>
        </w:tblBorders>
        <w:shd w:val="clear" w:color="auto" w:fill="F0FAFA"/>
        <w:tblLook w:val="04A0" w:firstRow="1" w:lastRow="0" w:firstColumn="1" w:lastColumn="0" w:noHBand="0" w:noVBand="1"/>
      </w:tblPr>
      <w:tblGrid>
        <w:gridCol w:w="1975"/>
        <w:gridCol w:w="8505"/>
      </w:tblGrid>
      <w:tr w:rsidR="00AB2AC6" w:rsidRPr="000876ED" w14:paraId="56770239" w14:textId="77777777" w:rsidTr="00BE34F8">
        <w:trPr>
          <w:trHeight w:val="255"/>
        </w:trPr>
        <w:tc>
          <w:tcPr>
            <w:tcW w:w="1975" w:type="dxa"/>
            <w:shd w:val="clear" w:color="auto" w:fill="F0FAFA"/>
            <w:noWrap/>
            <w:vAlign w:val="center"/>
          </w:tcPr>
          <w:p w14:paraId="57646C4A" w14:textId="77777777" w:rsidR="00AB2AC6" w:rsidRPr="000876ED" w:rsidRDefault="00AB2AC6" w:rsidP="00BE34F8">
            <w:pPr>
              <w:rPr>
                <w:rFonts w:ascii="TheSans Spire Light" w:hAnsi="TheSans Spire Light" w:cstheme="minorHAnsi"/>
                <w:color w:val="3B3838" w:themeColor="background2" w:themeShade="40"/>
                <w:sz w:val="20"/>
                <w:szCs w:val="20"/>
              </w:rPr>
            </w:pPr>
            <w:r>
              <w:rPr>
                <w:rFonts w:ascii="TheSans Spire Light" w:hAnsi="TheSans Spire Light" w:cstheme="minorHAnsi"/>
                <w:color w:val="3B3838" w:themeColor="background2" w:themeShade="40"/>
                <w:sz w:val="20"/>
                <w:szCs w:val="20"/>
              </w:rPr>
              <w:t>Please detail</w:t>
            </w:r>
          </w:p>
        </w:tc>
        <w:tc>
          <w:tcPr>
            <w:tcW w:w="8505" w:type="dxa"/>
            <w:shd w:val="clear" w:color="auto" w:fill="F0FAFA"/>
            <w:vAlign w:val="center"/>
          </w:tcPr>
          <w:p w14:paraId="4332A069" w14:textId="14A2B618" w:rsidR="00372EF9" w:rsidRPr="00372EF9" w:rsidRDefault="00372EF9" w:rsidP="00372EF9">
            <w:pPr>
              <w:ind w:left="94"/>
              <w:rPr>
                <w:rFonts w:ascii="TheSans Spire Light" w:hAnsi="TheSans Spire Light" w:cstheme="minorHAnsi"/>
                <w:color w:val="3B3838" w:themeColor="background2" w:themeShade="40"/>
                <w:sz w:val="20"/>
                <w:szCs w:val="20"/>
              </w:rPr>
            </w:pPr>
            <w:r>
              <w:rPr>
                <w:rFonts w:ascii="TheSans Spire Light" w:hAnsi="TheSans Spire Light" w:cstheme="minorHAnsi"/>
                <w:color w:val="3B3838" w:themeColor="background2" w:themeShade="40"/>
                <w:sz w:val="20"/>
                <w:szCs w:val="20"/>
              </w:rPr>
              <w:t xml:space="preserve">Patient Safety </w:t>
            </w:r>
            <w:r w:rsidRPr="00372EF9">
              <w:rPr>
                <w:rFonts w:ascii="TheSans Spire Light" w:hAnsi="TheSans Spire Light" w:cstheme="minorHAnsi"/>
                <w:color w:val="3B3838" w:themeColor="background2" w:themeShade="40"/>
                <w:sz w:val="20"/>
                <w:szCs w:val="20"/>
              </w:rPr>
              <w:t>Incident Review Working Group</w:t>
            </w:r>
            <w:r>
              <w:rPr>
                <w:rFonts w:ascii="TheSans Spire Light" w:hAnsi="TheSans Spire Light" w:cstheme="minorHAnsi"/>
                <w:color w:val="3B3838" w:themeColor="background2" w:themeShade="40"/>
                <w:sz w:val="20"/>
                <w:szCs w:val="20"/>
              </w:rPr>
              <w:t xml:space="preserve"> (PSIRG)</w:t>
            </w:r>
            <w:r w:rsidRPr="00372EF9">
              <w:rPr>
                <w:rFonts w:ascii="TheSans Spire Light" w:hAnsi="TheSans Spire Light" w:cstheme="minorHAnsi"/>
                <w:color w:val="3B3838" w:themeColor="background2" w:themeShade="40"/>
                <w:sz w:val="20"/>
                <w:szCs w:val="20"/>
              </w:rPr>
              <w:t xml:space="preserve"> oversight</w:t>
            </w:r>
          </w:p>
          <w:p w14:paraId="0840BAC8" w14:textId="77777777" w:rsidR="00372EF9" w:rsidRPr="00372EF9" w:rsidRDefault="00372EF9" w:rsidP="00372EF9">
            <w:pPr>
              <w:ind w:left="94"/>
              <w:rPr>
                <w:rFonts w:ascii="TheSans Spire Light" w:hAnsi="TheSans Spire Light" w:cstheme="minorHAnsi"/>
                <w:color w:val="3B3838" w:themeColor="background2" w:themeShade="40"/>
                <w:sz w:val="20"/>
                <w:szCs w:val="20"/>
              </w:rPr>
            </w:pPr>
            <w:r w:rsidRPr="00372EF9">
              <w:rPr>
                <w:rFonts w:ascii="TheSans Spire Light" w:hAnsi="TheSans Spire Light" w:cstheme="minorHAnsi"/>
                <w:color w:val="3B3838" w:themeColor="background2" w:themeShade="40"/>
                <w:sz w:val="20"/>
                <w:szCs w:val="20"/>
              </w:rPr>
              <w:t>Compliance with MED06 – Managing Consultant Performance Concerns process</w:t>
            </w:r>
          </w:p>
          <w:p w14:paraId="429B2F6B" w14:textId="6CB18BED" w:rsidR="00AB2AC6" w:rsidRPr="000876ED" w:rsidRDefault="00372EF9" w:rsidP="00372EF9">
            <w:pPr>
              <w:ind w:left="94"/>
              <w:rPr>
                <w:rFonts w:ascii="TheSans Spire Light" w:hAnsi="TheSans Spire Light" w:cstheme="minorHAnsi"/>
                <w:color w:val="3B3838" w:themeColor="background2" w:themeShade="40"/>
                <w:sz w:val="20"/>
                <w:szCs w:val="20"/>
              </w:rPr>
            </w:pPr>
            <w:r w:rsidRPr="00372EF9">
              <w:rPr>
                <w:rFonts w:ascii="TheSans Spire Light" w:hAnsi="TheSans Spire Light" w:cstheme="minorHAnsi"/>
                <w:color w:val="3B3838" w:themeColor="background2" w:themeShade="40"/>
                <w:sz w:val="20"/>
                <w:szCs w:val="20"/>
              </w:rPr>
              <w:t xml:space="preserve">Reporting of incidents to </w:t>
            </w:r>
            <w:r>
              <w:rPr>
                <w:rFonts w:ascii="TheSans Spire Light" w:hAnsi="TheSans Spire Light" w:cstheme="minorHAnsi"/>
                <w:color w:val="3B3838" w:themeColor="background2" w:themeShade="40"/>
                <w:sz w:val="20"/>
                <w:szCs w:val="20"/>
              </w:rPr>
              <w:t xml:space="preserve">Operational </w:t>
            </w:r>
            <w:r w:rsidRPr="00372EF9">
              <w:rPr>
                <w:rFonts w:ascii="TheSans Spire Light" w:hAnsi="TheSans Spire Light" w:cstheme="minorHAnsi"/>
                <w:color w:val="3B3838" w:themeColor="background2" w:themeShade="40"/>
                <w:sz w:val="20"/>
                <w:szCs w:val="20"/>
              </w:rPr>
              <w:t>SQ&amp;R</w:t>
            </w:r>
            <w:r>
              <w:rPr>
                <w:rFonts w:ascii="TheSans Spire Light" w:hAnsi="TheSans Spire Light" w:cstheme="minorHAnsi"/>
                <w:color w:val="3B3838" w:themeColor="background2" w:themeShade="40"/>
                <w:sz w:val="20"/>
                <w:szCs w:val="20"/>
              </w:rPr>
              <w:t>, SQ&amp;R</w:t>
            </w:r>
            <w:r w:rsidRPr="00372EF9">
              <w:rPr>
                <w:rFonts w:ascii="TheSans Spire Light" w:hAnsi="TheSans Spire Light" w:cstheme="minorHAnsi"/>
                <w:color w:val="3B3838" w:themeColor="background2" w:themeShade="40"/>
                <w:sz w:val="20"/>
                <w:szCs w:val="20"/>
              </w:rPr>
              <w:t xml:space="preserve"> and CG&amp;S Committees</w:t>
            </w:r>
          </w:p>
        </w:tc>
      </w:tr>
    </w:tbl>
    <w:p w14:paraId="2E9D2331" w14:textId="77777777" w:rsidR="00AB2AC6" w:rsidRDefault="00AB2AC6" w:rsidP="00AB2AC6">
      <w:pPr>
        <w:spacing w:after="0"/>
        <w:rPr>
          <w:rFonts w:ascii="TheSans Spire Light" w:hAnsi="TheSans Spire Light"/>
        </w:rPr>
      </w:pPr>
    </w:p>
    <w:p w14:paraId="5D5BEA83" w14:textId="599E97C4" w:rsidR="00AB2AC6" w:rsidRPr="000876ED" w:rsidRDefault="00AB2AC6" w:rsidP="00AB2AC6">
      <w:pPr>
        <w:spacing w:after="0"/>
        <w:rPr>
          <w:rFonts w:ascii="TheSans Spire Light" w:hAnsi="TheSans Spire Light"/>
          <w:color w:val="008385"/>
        </w:rPr>
      </w:pPr>
      <w:r>
        <w:rPr>
          <w:rFonts w:ascii="TheSans Spire Light" w:hAnsi="TheSans Spire Light"/>
          <w:color w:val="008385"/>
        </w:rPr>
        <w:t>Is training required to implement this policy?</w:t>
      </w:r>
      <w:r w:rsidRPr="000876ED">
        <w:rPr>
          <w:rFonts w:ascii="TheSans Spire Light" w:hAnsi="TheSans Spire Light"/>
          <w:color w:val="008385"/>
        </w:rPr>
        <w:tab/>
      </w:r>
      <w:r w:rsidRPr="000876ED">
        <w:rPr>
          <w:rFonts w:ascii="TheSans Spire Light" w:hAnsi="TheSans Spire Light"/>
          <w:color w:val="008385"/>
        </w:rPr>
        <w:tab/>
      </w:r>
      <w:r>
        <w:rPr>
          <w:rFonts w:ascii="TheSans Spire Light" w:hAnsi="TheSans Spire Light"/>
          <w:color w:val="008385"/>
        </w:rPr>
        <w:tab/>
      </w:r>
      <w:r>
        <w:rPr>
          <w:rFonts w:ascii="TheSans Spire Light" w:hAnsi="TheSans Spire Light"/>
          <w:color w:val="008385"/>
        </w:rPr>
        <w:tab/>
      </w:r>
      <w:r>
        <w:rPr>
          <w:rFonts w:ascii="TheSans Spire Light" w:hAnsi="TheSans Spire Light"/>
          <w:color w:val="008385"/>
        </w:rPr>
        <w:tab/>
      </w:r>
      <w:r>
        <w:rPr>
          <w:rFonts w:ascii="TheSans Spire Light" w:hAnsi="TheSans Spire Light"/>
          <w:color w:val="008385"/>
        </w:rPr>
        <w:tab/>
        <w:t>Yes</w:t>
      </w:r>
      <w:r>
        <w:rPr>
          <w:rFonts w:ascii="TheSans Spire Light" w:hAnsi="TheSans Spire Light"/>
          <w:color w:val="008385"/>
        </w:rPr>
        <w:tab/>
      </w:r>
      <w:sdt>
        <w:sdtPr>
          <w:rPr>
            <w:rFonts w:ascii="TheSans Spire Light" w:hAnsi="TheSans Spire Light"/>
            <w:color w:val="008385"/>
          </w:rPr>
          <w:id w:val="13202583"/>
          <w14:checkbox>
            <w14:checked w14:val="1"/>
            <w14:checkedState w14:val="2612" w14:font="MS Gothic"/>
            <w14:uncheckedState w14:val="2610" w14:font="MS Gothic"/>
          </w14:checkbox>
        </w:sdtPr>
        <w:sdtEndPr/>
        <w:sdtContent>
          <w:r w:rsidR="00372EF9">
            <w:rPr>
              <w:rFonts w:ascii="MS Gothic" w:eastAsia="MS Gothic" w:hAnsi="MS Gothic" w:hint="eastAsia"/>
              <w:color w:val="008385"/>
            </w:rPr>
            <w:t>☒</w:t>
          </w:r>
        </w:sdtContent>
      </w:sdt>
      <w:r>
        <w:rPr>
          <w:rFonts w:ascii="TheSans Spire Light" w:hAnsi="TheSans Spire Light"/>
          <w:color w:val="008385"/>
        </w:rPr>
        <w:tab/>
        <w:t xml:space="preserve">No      </w:t>
      </w:r>
      <w:sdt>
        <w:sdtPr>
          <w:rPr>
            <w:rFonts w:ascii="TheSans Spire Light" w:hAnsi="TheSans Spire Light"/>
            <w:color w:val="008385"/>
          </w:rPr>
          <w:id w:val="448672133"/>
          <w14:checkbox>
            <w14:checked w14:val="0"/>
            <w14:checkedState w14:val="2612" w14:font="MS Gothic"/>
            <w14:uncheckedState w14:val="2610" w14:font="MS Gothic"/>
          </w14:checkbox>
        </w:sdtPr>
        <w:sdtEndPr/>
        <w:sdtContent>
          <w:r w:rsidR="00372EF9">
            <w:rPr>
              <w:rFonts w:ascii="MS Gothic" w:eastAsia="MS Gothic" w:hAnsi="MS Gothic" w:hint="eastAsia"/>
              <w:color w:val="008385"/>
            </w:rPr>
            <w:t>☐</w:t>
          </w:r>
        </w:sdtContent>
      </w:sdt>
    </w:p>
    <w:tbl>
      <w:tblPr>
        <w:tblStyle w:val="TableGrid"/>
        <w:tblW w:w="10480" w:type="dxa"/>
        <w:tblBorders>
          <w:top w:val="single" w:sz="8" w:space="0" w:color="008385"/>
          <w:left w:val="single" w:sz="8" w:space="0" w:color="008385"/>
          <w:bottom w:val="single" w:sz="8" w:space="0" w:color="008385"/>
          <w:right w:val="single" w:sz="8" w:space="0" w:color="008385"/>
          <w:insideH w:val="single" w:sz="48" w:space="0" w:color="FFFFFF" w:themeColor="background1"/>
          <w:insideV w:val="single" w:sz="8" w:space="0" w:color="008385"/>
        </w:tblBorders>
        <w:shd w:val="clear" w:color="auto" w:fill="F0FAFA"/>
        <w:tblLook w:val="04A0" w:firstRow="1" w:lastRow="0" w:firstColumn="1" w:lastColumn="0" w:noHBand="0" w:noVBand="1"/>
      </w:tblPr>
      <w:tblGrid>
        <w:gridCol w:w="1975"/>
        <w:gridCol w:w="8505"/>
      </w:tblGrid>
      <w:tr w:rsidR="00AB2AC6" w:rsidRPr="000876ED" w14:paraId="3858BBE0" w14:textId="77777777" w:rsidTr="00BE34F8">
        <w:trPr>
          <w:trHeight w:val="255"/>
        </w:trPr>
        <w:tc>
          <w:tcPr>
            <w:tcW w:w="1975" w:type="dxa"/>
            <w:shd w:val="clear" w:color="auto" w:fill="F0FAFA"/>
            <w:noWrap/>
            <w:vAlign w:val="center"/>
          </w:tcPr>
          <w:p w14:paraId="2A408A05" w14:textId="77777777" w:rsidR="00AB2AC6" w:rsidRPr="000876ED" w:rsidRDefault="00AB2AC6" w:rsidP="00BE34F8">
            <w:pPr>
              <w:rPr>
                <w:rFonts w:ascii="TheSans Spire Light" w:hAnsi="TheSans Spire Light" w:cstheme="minorHAnsi"/>
                <w:color w:val="3B3838" w:themeColor="background2" w:themeShade="40"/>
                <w:sz w:val="20"/>
                <w:szCs w:val="20"/>
              </w:rPr>
            </w:pPr>
            <w:r>
              <w:rPr>
                <w:rFonts w:ascii="TheSans Spire Light" w:hAnsi="TheSans Spire Light" w:cstheme="minorHAnsi"/>
                <w:color w:val="3B3838" w:themeColor="background2" w:themeShade="40"/>
                <w:sz w:val="20"/>
                <w:szCs w:val="20"/>
              </w:rPr>
              <w:t>Please detail</w:t>
            </w:r>
          </w:p>
        </w:tc>
        <w:tc>
          <w:tcPr>
            <w:tcW w:w="8505" w:type="dxa"/>
            <w:shd w:val="clear" w:color="auto" w:fill="F0FAFA"/>
            <w:vAlign w:val="center"/>
          </w:tcPr>
          <w:p w14:paraId="08FBA0E9" w14:textId="329CC919" w:rsidR="00AB2AC6" w:rsidRPr="00372EF9" w:rsidRDefault="00372EF9" w:rsidP="00BE34F8">
            <w:pPr>
              <w:ind w:left="94"/>
              <w:rPr>
                <w:rFonts w:ascii="TheSans Spire Light" w:hAnsi="TheSans Spire Light" w:cstheme="minorHAnsi"/>
                <w:bCs/>
                <w:color w:val="3B3838" w:themeColor="background2" w:themeShade="40"/>
                <w:sz w:val="20"/>
                <w:szCs w:val="20"/>
              </w:rPr>
            </w:pPr>
            <w:r>
              <w:rPr>
                <w:rFonts w:ascii="Calibri" w:eastAsia="Calibri" w:hAnsi="Calibri" w:cs="Times New Roman"/>
                <w:bCs/>
                <w:sz w:val="18"/>
                <w:szCs w:val="18"/>
              </w:rPr>
              <w:t>O</w:t>
            </w:r>
            <w:r w:rsidRPr="00372EF9">
              <w:rPr>
                <w:rFonts w:ascii="Calibri" w:eastAsia="Calibri" w:hAnsi="Calibri" w:cs="Times New Roman"/>
                <w:bCs/>
                <w:sz w:val="18"/>
                <w:szCs w:val="18"/>
              </w:rPr>
              <w:t>ngoing drop in PSIRF related sessions, induction for new starters</w:t>
            </w:r>
          </w:p>
        </w:tc>
      </w:tr>
    </w:tbl>
    <w:p w14:paraId="3F2C40D0" w14:textId="77777777" w:rsidR="00AB2AC6" w:rsidRDefault="00AB2AC6" w:rsidP="00AB2AC6">
      <w:pPr>
        <w:spacing w:after="0"/>
        <w:rPr>
          <w:rFonts w:ascii="TheSans Spire Light" w:hAnsi="TheSans Spire Light"/>
        </w:rPr>
      </w:pPr>
    </w:p>
    <w:p w14:paraId="1FBF4D7F" w14:textId="7028A0BE" w:rsidR="00AB2AC6" w:rsidRDefault="00AB2AC6" w:rsidP="00AB2AC6">
      <w:pPr>
        <w:spacing w:after="0"/>
        <w:rPr>
          <w:rFonts w:ascii="TheSans Spire Light" w:hAnsi="TheSans Spire Light"/>
          <w:color w:val="008385"/>
        </w:rPr>
      </w:pPr>
      <w:r>
        <w:rPr>
          <w:rFonts w:ascii="TheSans Spire Light" w:hAnsi="TheSans Spire Light"/>
          <w:color w:val="008385"/>
        </w:rPr>
        <w:t>Is there a cost implication in the implementing of this policy?</w:t>
      </w:r>
      <w:r>
        <w:rPr>
          <w:rFonts w:ascii="TheSans Spire Light" w:hAnsi="TheSans Spire Light"/>
          <w:color w:val="008385"/>
        </w:rPr>
        <w:tab/>
      </w:r>
      <w:r>
        <w:rPr>
          <w:rFonts w:ascii="TheSans Spire Light" w:hAnsi="TheSans Spire Light"/>
          <w:color w:val="008385"/>
        </w:rPr>
        <w:tab/>
      </w:r>
      <w:r>
        <w:rPr>
          <w:rFonts w:ascii="TheSans Spire Light" w:hAnsi="TheSans Spire Light"/>
          <w:color w:val="008385"/>
        </w:rPr>
        <w:tab/>
        <w:t>Yes</w:t>
      </w:r>
      <w:r>
        <w:rPr>
          <w:rFonts w:ascii="TheSans Spire Light" w:hAnsi="TheSans Spire Light"/>
          <w:color w:val="008385"/>
        </w:rPr>
        <w:tab/>
      </w:r>
      <w:sdt>
        <w:sdtPr>
          <w:rPr>
            <w:rFonts w:ascii="TheSans Spire Light" w:hAnsi="TheSans Spire Light"/>
            <w:color w:val="008385"/>
          </w:rPr>
          <w:id w:val="2038227155"/>
          <w14:checkbox>
            <w14:checked w14:val="0"/>
            <w14:checkedState w14:val="2612" w14:font="MS Gothic"/>
            <w14:uncheckedState w14:val="2610" w14:font="MS Gothic"/>
          </w14:checkbox>
        </w:sdtPr>
        <w:sdtEndPr/>
        <w:sdtContent>
          <w:r>
            <w:rPr>
              <w:rFonts w:ascii="MS Gothic" w:eastAsia="MS Gothic" w:hAnsi="MS Gothic" w:hint="eastAsia"/>
              <w:color w:val="008385"/>
            </w:rPr>
            <w:t>☐</w:t>
          </w:r>
        </w:sdtContent>
      </w:sdt>
      <w:r>
        <w:rPr>
          <w:rFonts w:ascii="TheSans Spire Light" w:hAnsi="TheSans Spire Light"/>
          <w:color w:val="008385"/>
        </w:rPr>
        <w:tab/>
        <w:t xml:space="preserve">No      </w:t>
      </w:r>
      <w:sdt>
        <w:sdtPr>
          <w:rPr>
            <w:rFonts w:ascii="TheSans Spire Light" w:hAnsi="TheSans Spire Light"/>
            <w:color w:val="008385"/>
          </w:rPr>
          <w:id w:val="1852769605"/>
          <w14:checkbox>
            <w14:checked w14:val="1"/>
            <w14:checkedState w14:val="2612" w14:font="MS Gothic"/>
            <w14:uncheckedState w14:val="2610" w14:font="MS Gothic"/>
          </w14:checkbox>
        </w:sdtPr>
        <w:sdtEndPr/>
        <w:sdtContent>
          <w:r w:rsidR="00372EF9">
            <w:rPr>
              <w:rFonts w:ascii="MS Gothic" w:eastAsia="MS Gothic" w:hAnsi="MS Gothic" w:hint="eastAsia"/>
              <w:color w:val="008385"/>
            </w:rPr>
            <w:t>☒</w:t>
          </w:r>
        </w:sdtContent>
      </w:sdt>
      <w:r w:rsidRPr="008126BE">
        <w:rPr>
          <w:rFonts w:ascii="TheSans Spire Light" w:hAnsi="TheSans Spire Light"/>
          <w:color w:val="008385"/>
        </w:rPr>
        <w:t xml:space="preserve"> </w:t>
      </w:r>
    </w:p>
    <w:p w14:paraId="090CC420" w14:textId="0E953E3B" w:rsidR="00AB2AC6" w:rsidRPr="000876ED" w:rsidRDefault="00AB2AC6" w:rsidP="00AB2AC6">
      <w:pPr>
        <w:spacing w:after="0"/>
        <w:rPr>
          <w:rFonts w:ascii="TheSans Spire Light" w:hAnsi="TheSans Spire Light"/>
          <w:color w:val="008385"/>
        </w:rPr>
      </w:pPr>
      <w:r>
        <w:rPr>
          <w:rFonts w:ascii="TheSans Spire Light" w:hAnsi="TheSans Spire Light"/>
          <w:color w:val="008385"/>
        </w:rPr>
        <w:t>If there is a cost implication has this been agreed?</w:t>
      </w:r>
      <w:r>
        <w:rPr>
          <w:rFonts w:ascii="TheSans Spire Light" w:hAnsi="TheSans Spire Light"/>
          <w:color w:val="008385"/>
        </w:rPr>
        <w:tab/>
      </w:r>
      <w:r>
        <w:rPr>
          <w:rFonts w:ascii="TheSans Spire Light" w:hAnsi="TheSans Spire Light"/>
          <w:color w:val="008385"/>
        </w:rPr>
        <w:tab/>
      </w:r>
      <w:r>
        <w:rPr>
          <w:rFonts w:ascii="TheSans Spire Light" w:hAnsi="TheSans Spire Light"/>
          <w:color w:val="008385"/>
        </w:rPr>
        <w:tab/>
      </w:r>
      <w:r>
        <w:rPr>
          <w:rFonts w:ascii="TheSans Spire Light" w:hAnsi="TheSans Spire Light"/>
          <w:color w:val="008385"/>
        </w:rPr>
        <w:tab/>
      </w:r>
      <w:r>
        <w:rPr>
          <w:rFonts w:ascii="TheSans Spire Light" w:hAnsi="TheSans Spire Light"/>
          <w:color w:val="008385"/>
        </w:rPr>
        <w:tab/>
        <w:t>Yes</w:t>
      </w:r>
      <w:r>
        <w:rPr>
          <w:rFonts w:ascii="TheSans Spire Light" w:hAnsi="TheSans Spire Light"/>
          <w:color w:val="008385"/>
        </w:rPr>
        <w:tab/>
      </w:r>
      <w:sdt>
        <w:sdtPr>
          <w:rPr>
            <w:rFonts w:ascii="TheSans Spire Light" w:hAnsi="TheSans Spire Light"/>
            <w:color w:val="008385"/>
          </w:rPr>
          <w:id w:val="-113368032"/>
          <w14:checkbox>
            <w14:checked w14:val="0"/>
            <w14:checkedState w14:val="2612" w14:font="MS Gothic"/>
            <w14:uncheckedState w14:val="2610" w14:font="MS Gothic"/>
          </w14:checkbox>
        </w:sdtPr>
        <w:sdtEndPr/>
        <w:sdtContent>
          <w:r>
            <w:rPr>
              <w:rFonts w:ascii="MS Gothic" w:eastAsia="MS Gothic" w:hAnsi="MS Gothic" w:hint="eastAsia"/>
              <w:color w:val="008385"/>
            </w:rPr>
            <w:t>☐</w:t>
          </w:r>
        </w:sdtContent>
      </w:sdt>
      <w:r>
        <w:rPr>
          <w:rFonts w:ascii="TheSans Spire Light" w:hAnsi="TheSans Spire Light"/>
          <w:color w:val="008385"/>
        </w:rPr>
        <w:tab/>
        <w:t xml:space="preserve">No      </w:t>
      </w:r>
      <w:sdt>
        <w:sdtPr>
          <w:rPr>
            <w:rFonts w:ascii="TheSans Spire Light" w:hAnsi="TheSans Spire Light"/>
            <w:color w:val="008385"/>
          </w:rPr>
          <w:id w:val="625359060"/>
          <w14:checkbox>
            <w14:checked w14:val="1"/>
            <w14:checkedState w14:val="2612" w14:font="MS Gothic"/>
            <w14:uncheckedState w14:val="2610" w14:font="MS Gothic"/>
          </w14:checkbox>
        </w:sdtPr>
        <w:sdtEndPr/>
        <w:sdtContent>
          <w:r w:rsidR="00372EF9">
            <w:rPr>
              <w:rFonts w:ascii="MS Gothic" w:eastAsia="MS Gothic" w:hAnsi="MS Gothic" w:hint="eastAsia"/>
              <w:color w:val="008385"/>
            </w:rPr>
            <w:t>☒</w:t>
          </w:r>
        </w:sdtContent>
      </w:sdt>
    </w:p>
    <w:tbl>
      <w:tblPr>
        <w:tblStyle w:val="TableGrid"/>
        <w:tblW w:w="10480" w:type="dxa"/>
        <w:tblBorders>
          <w:top w:val="single" w:sz="8" w:space="0" w:color="008385"/>
          <w:left w:val="single" w:sz="8" w:space="0" w:color="008385"/>
          <w:bottom w:val="single" w:sz="8" w:space="0" w:color="008385"/>
          <w:right w:val="single" w:sz="8" w:space="0" w:color="008385"/>
          <w:insideH w:val="single" w:sz="48" w:space="0" w:color="FFFFFF" w:themeColor="background1"/>
          <w:insideV w:val="single" w:sz="8" w:space="0" w:color="008385"/>
        </w:tblBorders>
        <w:shd w:val="clear" w:color="auto" w:fill="F0FAFA"/>
        <w:tblLook w:val="04A0" w:firstRow="1" w:lastRow="0" w:firstColumn="1" w:lastColumn="0" w:noHBand="0" w:noVBand="1"/>
      </w:tblPr>
      <w:tblGrid>
        <w:gridCol w:w="1975"/>
        <w:gridCol w:w="8505"/>
      </w:tblGrid>
      <w:tr w:rsidR="00AB2AC6" w:rsidRPr="000876ED" w14:paraId="54A344A3" w14:textId="77777777" w:rsidTr="00BE34F8">
        <w:trPr>
          <w:trHeight w:val="255"/>
        </w:trPr>
        <w:tc>
          <w:tcPr>
            <w:tcW w:w="1975" w:type="dxa"/>
            <w:shd w:val="clear" w:color="auto" w:fill="F0FAFA"/>
            <w:noWrap/>
            <w:vAlign w:val="center"/>
          </w:tcPr>
          <w:p w14:paraId="49CCC1F0" w14:textId="77777777" w:rsidR="00AB2AC6" w:rsidRPr="000876ED" w:rsidRDefault="00AB2AC6" w:rsidP="00BE34F8">
            <w:pPr>
              <w:rPr>
                <w:rFonts w:ascii="TheSans Spire Light" w:hAnsi="TheSans Spire Light" w:cstheme="minorHAnsi"/>
                <w:color w:val="3B3838" w:themeColor="background2" w:themeShade="40"/>
                <w:sz w:val="20"/>
                <w:szCs w:val="20"/>
              </w:rPr>
            </w:pPr>
            <w:r>
              <w:rPr>
                <w:rFonts w:ascii="TheSans Spire Light" w:hAnsi="TheSans Spire Light" w:cstheme="minorHAnsi"/>
                <w:color w:val="3B3838" w:themeColor="background2" w:themeShade="40"/>
                <w:sz w:val="20"/>
                <w:szCs w:val="20"/>
              </w:rPr>
              <w:t>Please detail</w:t>
            </w:r>
          </w:p>
        </w:tc>
        <w:tc>
          <w:tcPr>
            <w:tcW w:w="8505" w:type="dxa"/>
            <w:shd w:val="clear" w:color="auto" w:fill="F0FAFA"/>
            <w:vAlign w:val="center"/>
          </w:tcPr>
          <w:p w14:paraId="4F38E483" w14:textId="6AED8B5B" w:rsidR="00AB2AC6" w:rsidRPr="000876ED" w:rsidRDefault="00372EF9" w:rsidP="00BE34F8">
            <w:pPr>
              <w:ind w:left="94"/>
              <w:rPr>
                <w:rFonts w:ascii="TheSans Spire Light" w:hAnsi="TheSans Spire Light" w:cstheme="minorHAnsi"/>
                <w:color w:val="3B3838" w:themeColor="background2" w:themeShade="40"/>
                <w:sz w:val="20"/>
                <w:szCs w:val="20"/>
              </w:rPr>
            </w:pPr>
            <w:r>
              <w:rPr>
                <w:rFonts w:ascii="TheSans Spire Light" w:hAnsi="TheSans Spire Light" w:cstheme="minorHAnsi"/>
                <w:color w:val="3B3838" w:themeColor="background2" w:themeShade="40"/>
                <w:sz w:val="20"/>
                <w:szCs w:val="20"/>
              </w:rPr>
              <w:t>N/A</w:t>
            </w:r>
          </w:p>
        </w:tc>
      </w:tr>
    </w:tbl>
    <w:p w14:paraId="168D1342" w14:textId="77777777" w:rsidR="00AB2AC6" w:rsidRDefault="00AB2AC6" w:rsidP="00AB2AC6">
      <w:pPr>
        <w:spacing w:after="0"/>
        <w:rPr>
          <w:rFonts w:ascii="TheSans Spire Light" w:hAnsi="TheSans Spire Light"/>
        </w:rPr>
      </w:pPr>
    </w:p>
    <w:p w14:paraId="3D288FFC" w14:textId="008B1E2C" w:rsidR="00AB2AC6" w:rsidRPr="000876ED" w:rsidRDefault="00AB2AC6" w:rsidP="00AB2AC6">
      <w:pPr>
        <w:spacing w:after="0"/>
        <w:rPr>
          <w:rFonts w:ascii="TheSans Spire Light" w:hAnsi="TheSans Spire Light"/>
          <w:color w:val="008385"/>
        </w:rPr>
      </w:pPr>
      <w:r>
        <w:rPr>
          <w:rFonts w:ascii="TheSans Spire Light" w:hAnsi="TheSans Spire Light"/>
          <w:color w:val="008385"/>
        </w:rPr>
        <w:t>Is there a resource implication in the implementation of this policy?</w:t>
      </w:r>
      <w:r w:rsidRPr="000876ED">
        <w:rPr>
          <w:rFonts w:ascii="TheSans Spire Light" w:hAnsi="TheSans Spire Light"/>
          <w:color w:val="008385"/>
        </w:rPr>
        <w:tab/>
      </w:r>
      <w:r w:rsidRPr="000876ED">
        <w:rPr>
          <w:rFonts w:ascii="TheSans Spire Light" w:hAnsi="TheSans Spire Light"/>
          <w:color w:val="008385"/>
        </w:rPr>
        <w:tab/>
      </w:r>
      <w:r>
        <w:rPr>
          <w:rFonts w:ascii="TheSans Spire Light" w:hAnsi="TheSans Spire Light"/>
          <w:color w:val="008385"/>
        </w:rPr>
        <w:tab/>
        <w:t>Yes</w:t>
      </w:r>
      <w:r>
        <w:rPr>
          <w:rFonts w:ascii="TheSans Spire Light" w:hAnsi="TheSans Spire Light"/>
          <w:color w:val="008385"/>
        </w:rPr>
        <w:tab/>
      </w:r>
      <w:sdt>
        <w:sdtPr>
          <w:rPr>
            <w:rFonts w:ascii="TheSans Spire Light" w:hAnsi="TheSans Spire Light"/>
            <w:color w:val="008385"/>
          </w:rPr>
          <w:id w:val="1192489820"/>
          <w14:checkbox>
            <w14:checked w14:val="0"/>
            <w14:checkedState w14:val="2612" w14:font="MS Gothic"/>
            <w14:uncheckedState w14:val="2610" w14:font="MS Gothic"/>
          </w14:checkbox>
        </w:sdtPr>
        <w:sdtEndPr/>
        <w:sdtContent>
          <w:r>
            <w:rPr>
              <w:rFonts w:ascii="MS Gothic" w:eastAsia="MS Gothic" w:hAnsi="MS Gothic" w:hint="eastAsia"/>
              <w:color w:val="008385"/>
            </w:rPr>
            <w:t>☐</w:t>
          </w:r>
        </w:sdtContent>
      </w:sdt>
      <w:r>
        <w:rPr>
          <w:rFonts w:ascii="TheSans Spire Light" w:hAnsi="TheSans Spire Light"/>
          <w:color w:val="008385"/>
        </w:rPr>
        <w:tab/>
        <w:t xml:space="preserve">No      </w:t>
      </w:r>
      <w:sdt>
        <w:sdtPr>
          <w:rPr>
            <w:rFonts w:ascii="TheSans Spire Light" w:hAnsi="TheSans Spire Light"/>
            <w:color w:val="008385"/>
          </w:rPr>
          <w:id w:val="2130814408"/>
          <w14:checkbox>
            <w14:checked w14:val="1"/>
            <w14:checkedState w14:val="2612" w14:font="MS Gothic"/>
            <w14:uncheckedState w14:val="2610" w14:font="MS Gothic"/>
          </w14:checkbox>
        </w:sdtPr>
        <w:sdtEndPr/>
        <w:sdtContent>
          <w:r w:rsidR="00372EF9">
            <w:rPr>
              <w:rFonts w:ascii="MS Gothic" w:eastAsia="MS Gothic" w:hAnsi="MS Gothic" w:hint="eastAsia"/>
              <w:color w:val="008385"/>
            </w:rPr>
            <w:t>☒</w:t>
          </w:r>
        </w:sdtContent>
      </w:sdt>
    </w:p>
    <w:tbl>
      <w:tblPr>
        <w:tblStyle w:val="TableGrid"/>
        <w:tblW w:w="10480" w:type="dxa"/>
        <w:tblBorders>
          <w:top w:val="single" w:sz="8" w:space="0" w:color="008385"/>
          <w:left w:val="single" w:sz="8" w:space="0" w:color="008385"/>
          <w:bottom w:val="single" w:sz="8" w:space="0" w:color="008385"/>
          <w:right w:val="single" w:sz="8" w:space="0" w:color="008385"/>
          <w:insideH w:val="single" w:sz="48" w:space="0" w:color="FFFFFF" w:themeColor="background1"/>
          <w:insideV w:val="single" w:sz="8" w:space="0" w:color="008385"/>
        </w:tblBorders>
        <w:shd w:val="clear" w:color="auto" w:fill="F0FAFA"/>
        <w:tblLook w:val="04A0" w:firstRow="1" w:lastRow="0" w:firstColumn="1" w:lastColumn="0" w:noHBand="0" w:noVBand="1"/>
      </w:tblPr>
      <w:tblGrid>
        <w:gridCol w:w="1975"/>
        <w:gridCol w:w="8505"/>
      </w:tblGrid>
      <w:tr w:rsidR="00AB2AC6" w:rsidRPr="000876ED" w14:paraId="581FA350" w14:textId="77777777" w:rsidTr="00BE34F8">
        <w:trPr>
          <w:trHeight w:val="255"/>
        </w:trPr>
        <w:tc>
          <w:tcPr>
            <w:tcW w:w="1975" w:type="dxa"/>
            <w:shd w:val="clear" w:color="auto" w:fill="F0FAFA"/>
            <w:noWrap/>
            <w:vAlign w:val="center"/>
          </w:tcPr>
          <w:p w14:paraId="58289B8D" w14:textId="77777777" w:rsidR="00AB2AC6" w:rsidRPr="000876ED" w:rsidRDefault="00AB2AC6" w:rsidP="00BE34F8">
            <w:pPr>
              <w:rPr>
                <w:rFonts w:ascii="TheSans Spire Light" w:hAnsi="TheSans Spire Light" w:cstheme="minorHAnsi"/>
                <w:color w:val="3B3838" w:themeColor="background2" w:themeShade="40"/>
                <w:sz w:val="20"/>
                <w:szCs w:val="20"/>
              </w:rPr>
            </w:pPr>
            <w:r>
              <w:rPr>
                <w:rFonts w:ascii="TheSans Spire Light" w:hAnsi="TheSans Spire Light" w:cstheme="minorHAnsi"/>
                <w:color w:val="3B3838" w:themeColor="background2" w:themeShade="40"/>
                <w:sz w:val="20"/>
                <w:szCs w:val="20"/>
              </w:rPr>
              <w:t>Please detail</w:t>
            </w:r>
          </w:p>
        </w:tc>
        <w:tc>
          <w:tcPr>
            <w:tcW w:w="8505" w:type="dxa"/>
            <w:shd w:val="clear" w:color="auto" w:fill="F0FAFA"/>
            <w:vAlign w:val="center"/>
          </w:tcPr>
          <w:p w14:paraId="28E4445E" w14:textId="50760C3D" w:rsidR="00AB2AC6" w:rsidRPr="000876ED" w:rsidRDefault="00372EF9" w:rsidP="00BE34F8">
            <w:pPr>
              <w:ind w:left="94"/>
              <w:rPr>
                <w:rFonts w:ascii="TheSans Spire Light" w:hAnsi="TheSans Spire Light" w:cstheme="minorHAnsi"/>
                <w:color w:val="3B3838" w:themeColor="background2" w:themeShade="40"/>
                <w:sz w:val="20"/>
                <w:szCs w:val="20"/>
              </w:rPr>
            </w:pPr>
            <w:r>
              <w:rPr>
                <w:rFonts w:ascii="TheSans Spire Light" w:hAnsi="TheSans Spire Light" w:cstheme="minorHAnsi"/>
                <w:color w:val="3B3838" w:themeColor="background2" w:themeShade="40"/>
                <w:sz w:val="20"/>
                <w:szCs w:val="20"/>
              </w:rPr>
              <w:t>N/A</w:t>
            </w:r>
          </w:p>
        </w:tc>
      </w:tr>
    </w:tbl>
    <w:p w14:paraId="50C913BF" w14:textId="77777777" w:rsidR="00AB2AC6" w:rsidRDefault="00AB2AC6" w:rsidP="00AB2AC6">
      <w:pPr>
        <w:spacing w:after="0"/>
        <w:rPr>
          <w:rFonts w:ascii="TheSans Spire Light" w:hAnsi="TheSans Spire Light"/>
        </w:rPr>
      </w:pPr>
    </w:p>
    <w:p w14:paraId="4D075E80" w14:textId="77777777" w:rsidR="00AB2AC6" w:rsidRDefault="00AB2AC6" w:rsidP="00AB2AC6">
      <w:pPr>
        <w:spacing w:after="0"/>
        <w:rPr>
          <w:rFonts w:ascii="TheSans Spire Light" w:hAnsi="TheSans Spire Light"/>
        </w:rPr>
      </w:pPr>
    </w:p>
    <w:p w14:paraId="2EC145B8" w14:textId="77777777" w:rsidR="00AB2AC6" w:rsidRDefault="00AB2AC6" w:rsidP="00AB2AC6">
      <w:pPr>
        <w:spacing w:after="0"/>
        <w:rPr>
          <w:rFonts w:ascii="TheSans Spire Light" w:hAnsi="TheSans Spire Light"/>
        </w:rPr>
      </w:pPr>
    </w:p>
    <w:p w14:paraId="479C68ED" w14:textId="77777777" w:rsidR="00AB2AC6" w:rsidRDefault="00AB2AC6" w:rsidP="00AB2AC6">
      <w:pPr>
        <w:spacing w:after="0"/>
        <w:rPr>
          <w:rFonts w:ascii="TheSans Spire Light" w:hAnsi="TheSans Spire Light"/>
        </w:rPr>
      </w:pPr>
    </w:p>
    <w:p w14:paraId="56723811" w14:textId="77777777" w:rsidR="00AB2AC6" w:rsidRDefault="00AB2AC6" w:rsidP="00AB2AC6">
      <w:pPr>
        <w:spacing w:after="0"/>
        <w:rPr>
          <w:rFonts w:ascii="TheSans Spire Light" w:hAnsi="TheSans Spire Light"/>
        </w:rPr>
      </w:pPr>
    </w:p>
    <w:p w14:paraId="76DDDA8F" w14:textId="77777777" w:rsidR="00AB2AC6" w:rsidRDefault="00AB2AC6" w:rsidP="00AB2AC6">
      <w:pPr>
        <w:spacing w:after="0"/>
        <w:rPr>
          <w:rFonts w:ascii="TheSans Spire Light" w:hAnsi="TheSans Spire Light"/>
        </w:rPr>
      </w:pPr>
    </w:p>
    <w:p w14:paraId="38169FDA" w14:textId="77777777" w:rsidR="00AB2AC6" w:rsidRDefault="00AB2AC6" w:rsidP="00AB2AC6">
      <w:pPr>
        <w:spacing w:after="0"/>
        <w:rPr>
          <w:rFonts w:ascii="TheSans Spire Light" w:hAnsi="TheSans Spire Light"/>
        </w:rPr>
      </w:pPr>
    </w:p>
    <w:p w14:paraId="56FF4A6E" w14:textId="77777777" w:rsidR="00AB2AC6" w:rsidRDefault="00AB2AC6" w:rsidP="00AB2AC6">
      <w:pPr>
        <w:spacing w:after="0"/>
        <w:rPr>
          <w:rFonts w:ascii="TheSans Spire Light" w:hAnsi="TheSans Spire Light"/>
        </w:rPr>
      </w:pPr>
    </w:p>
    <w:p w14:paraId="1AD74ECE" w14:textId="77777777" w:rsidR="00AB2AC6" w:rsidRDefault="00AB2AC6" w:rsidP="00AB2AC6">
      <w:pPr>
        <w:spacing w:after="0"/>
        <w:rPr>
          <w:rFonts w:ascii="TheSans Spire Light" w:hAnsi="TheSans Spire Light"/>
        </w:rPr>
      </w:pPr>
    </w:p>
    <w:p w14:paraId="50F6FD71" w14:textId="77777777" w:rsidR="00AB2AC6" w:rsidRDefault="00AB2AC6" w:rsidP="00AB2AC6">
      <w:pPr>
        <w:spacing w:after="0"/>
        <w:rPr>
          <w:rFonts w:ascii="TheSans Spire Light" w:hAnsi="TheSans Spire Light"/>
        </w:rPr>
      </w:pPr>
    </w:p>
    <w:p w14:paraId="2E65B244" w14:textId="77777777" w:rsidR="00AB2AC6" w:rsidRDefault="00AB2AC6" w:rsidP="00AB2AC6">
      <w:pPr>
        <w:rPr>
          <w:rFonts w:ascii="TheSans Spire Light" w:hAnsi="TheSans Spire Light"/>
        </w:rPr>
      </w:pPr>
    </w:p>
    <w:p w14:paraId="0E74A8DB" w14:textId="77777777" w:rsidR="00AB2AC6" w:rsidRDefault="00AB2AC6" w:rsidP="00AB2AC6">
      <w:pPr>
        <w:rPr>
          <w:rFonts w:ascii="TheSans Spire Light" w:hAnsi="TheSans Spire Light"/>
        </w:rPr>
      </w:pPr>
    </w:p>
    <w:p w14:paraId="2C7E9E58" w14:textId="77777777" w:rsidR="00AB2AC6" w:rsidRDefault="00AB2AC6" w:rsidP="00AB2AC6">
      <w:pPr>
        <w:rPr>
          <w:rFonts w:ascii="TheSans Spire Light" w:hAnsi="TheSans Spire Light"/>
        </w:rPr>
        <w:sectPr w:rsidR="00AB2AC6" w:rsidSect="00CE5EB3">
          <w:footerReference w:type="default" r:id="rId43"/>
          <w:pgSz w:w="11906" w:h="16838"/>
          <w:pgMar w:top="720" w:right="720" w:bottom="426" w:left="720" w:header="708" w:footer="0" w:gutter="0"/>
          <w:cols w:space="708"/>
          <w:docGrid w:linePitch="360"/>
        </w:sectPr>
      </w:pPr>
    </w:p>
    <w:p w14:paraId="108D6612" w14:textId="77777777" w:rsidR="00AB2AC6" w:rsidRPr="009616C7" w:rsidRDefault="00AB2AC6" w:rsidP="00AB2AC6">
      <w:pPr>
        <w:spacing w:after="0"/>
        <w:rPr>
          <w:rFonts w:ascii="TheSans Spire Light" w:hAnsi="TheSans Spire Light"/>
        </w:rPr>
      </w:pPr>
      <w:r w:rsidRPr="009616C7">
        <w:rPr>
          <w:rFonts w:ascii="TheSans Spire Light" w:hAnsi="TheSans Spire Light"/>
        </w:rPr>
        <w:lastRenderedPageBreak/>
        <w:t xml:space="preserve">Please complete the </w:t>
      </w:r>
      <w:r>
        <w:rPr>
          <w:rFonts w:ascii="TheSans Spire Light" w:hAnsi="TheSans Spire Light"/>
        </w:rPr>
        <w:t>e</w:t>
      </w:r>
      <w:r w:rsidRPr="009616C7">
        <w:rPr>
          <w:rFonts w:ascii="TheSans Spire Light" w:hAnsi="TheSans Spire Light"/>
        </w:rPr>
        <w:t>quality assessment below.</w:t>
      </w:r>
    </w:p>
    <w:p w14:paraId="1B917AB0" w14:textId="77777777" w:rsidR="00AB2AC6" w:rsidRDefault="00AB2AC6" w:rsidP="00AB2AC6">
      <w:pPr>
        <w:spacing w:after="0"/>
        <w:rPr>
          <w:rFonts w:ascii="TheSans Spire Light" w:hAnsi="TheSans Spire Light"/>
        </w:rPr>
      </w:pPr>
    </w:p>
    <w:p w14:paraId="371C639E" w14:textId="77777777" w:rsidR="00AB2AC6" w:rsidRPr="00345028" w:rsidRDefault="00AB2AC6" w:rsidP="00AB2AC6">
      <w:pPr>
        <w:shd w:val="clear" w:color="auto" w:fill="008385"/>
        <w:spacing w:after="0"/>
        <w:ind w:right="260"/>
        <w:rPr>
          <w:rFonts w:ascii="TheSans Spire Light" w:hAnsi="TheSans Spire Light"/>
          <w:b/>
          <w:color w:val="FFFFFF" w:themeColor="background1"/>
        </w:rPr>
      </w:pPr>
      <w:r w:rsidRPr="00345028">
        <w:rPr>
          <w:rFonts w:ascii="TheSans Spire Light" w:hAnsi="TheSans Spire Light"/>
          <w:b/>
          <w:color w:val="FFFFFF" w:themeColor="background1"/>
        </w:rPr>
        <w:t>Equality Assessment</w:t>
      </w:r>
    </w:p>
    <w:p w14:paraId="57266848" w14:textId="77777777" w:rsidR="00AB2AC6" w:rsidRDefault="00AB2AC6" w:rsidP="00AB2AC6">
      <w:pPr>
        <w:spacing w:after="0"/>
        <w:ind w:right="260"/>
        <w:rPr>
          <w:rFonts w:ascii="TheSans Spire Light" w:hAnsi="TheSans Spire Light"/>
        </w:rPr>
      </w:pPr>
    </w:p>
    <w:p w14:paraId="777B81B9" w14:textId="77777777" w:rsidR="00AB2AC6" w:rsidRPr="009616C7" w:rsidRDefault="00AB2AC6" w:rsidP="00AB2AC6">
      <w:pPr>
        <w:spacing w:after="100"/>
        <w:ind w:right="260"/>
        <w:jc w:val="both"/>
        <w:rPr>
          <w:rFonts w:ascii="TheSans Spire" w:hAnsi="TheSans Spire" w:cs="Arial"/>
          <w:i/>
          <w:sz w:val="18"/>
          <w:szCs w:val="18"/>
        </w:rPr>
      </w:pPr>
      <w:r w:rsidRPr="009616C7">
        <w:rPr>
          <w:rFonts w:ascii="TheSans Spire" w:hAnsi="TheSans Spire" w:cs="Arial"/>
          <w:b/>
          <w:i/>
          <w:sz w:val="18"/>
          <w:szCs w:val="18"/>
        </w:rPr>
        <w:t>Positive impact:</w:t>
      </w:r>
      <w:r w:rsidRPr="009616C7">
        <w:rPr>
          <w:rFonts w:ascii="TheSans Spire" w:hAnsi="TheSans Spire" w:cs="Arial"/>
          <w:i/>
          <w:sz w:val="18"/>
          <w:szCs w:val="18"/>
        </w:rPr>
        <w:t xml:space="preserve">  a policy / document where the impact on a particular group of colleagues / patients is more positive than for other colleagues.  It can also include legally permitted positive action initiatives designed to remedy workforce imbalance, such as job interview guarantee schemes for disabled people.  </w:t>
      </w:r>
    </w:p>
    <w:p w14:paraId="582C81CE" w14:textId="77777777" w:rsidR="00AB2AC6" w:rsidRPr="009616C7" w:rsidRDefault="00AB2AC6" w:rsidP="00AB2AC6">
      <w:pPr>
        <w:spacing w:after="100"/>
        <w:ind w:right="260"/>
        <w:jc w:val="both"/>
        <w:rPr>
          <w:rFonts w:ascii="TheSans Spire" w:hAnsi="TheSans Spire" w:cs="Arial"/>
          <w:i/>
          <w:sz w:val="18"/>
          <w:szCs w:val="18"/>
        </w:rPr>
      </w:pPr>
      <w:r w:rsidRPr="009616C7">
        <w:rPr>
          <w:rFonts w:ascii="TheSans Spire" w:hAnsi="TheSans Spire" w:cs="Arial"/>
          <w:b/>
          <w:i/>
          <w:sz w:val="18"/>
          <w:szCs w:val="18"/>
        </w:rPr>
        <w:t>Negative impact</w:t>
      </w:r>
      <w:r>
        <w:rPr>
          <w:rFonts w:ascii="TheSans Spire" w:hAnsi="TheSans Spire" w:cs="Arial"/>
          <w:i/>
          <w:sz w:val="18"/>
          <w:szCs w:val="18"/>
        </w:rPr>
        <w:t xml:space="preserve">: a policy / document </w:t>
      </w:r>
      <w:r w:rsidRPr="009616C7">
        <w:rPr>
          <w:rFonts w:ascii="TheSans Spire" w:hAnsi="TheSans Spire" w:cs="Arial"/>
          <w:i/>
          <w:sz w:val="18"/>
          <w:szCs w:val="18"/>
        </w:rPr>
        <w:t>where the impact on a particular group of colleagues</w:t>
      </w:r>
      <w:r>
        <w:rPr>
          <w:rFonts w:ascii="TheSans Spire" w:hAnsi="TheSans Spire" w:cs="Arial"/>
          <w:i/>
          <w:sz w:val="18"/>
          <w:szCs w:val="18"/>
        </w:rPr>
        <w:t xml:space="preserve"> / patients</w:t>
      </w:r>
      <w:r w:rsidRPr="009616C7">
        <w:rPr>
          <w:rFonts w:ascii="TheSans Spire" w:hAnsi="TheSans Spire" w:cs="Arial"/>
          <w:i/>
          <w:sz w:val="18"/>
          <w:szCs w:val="18"/>
        </w:rPr>
        <w:t xml:space="preserve"> is more negative than for other colleagues (e.g., where the choice of venue for a colleague social occasion precludes members of a particular faith or belief group from participating).  </w:t>
      </w:r>
    </w:p>
    <w:p w14:paraId="3E7C8F62" w14:textId="77777777" w:rsidR="00AB2AC6" w:rsidRPr="009616C7" w:rsidRDefault="00AB2AC6" w:rsidP="00AB2AC6">
      <w:pPr>
        <w:ind w:right="260"/>
        <w:jc w:val="both"/>
        <w:rPr>
          <w:rFonts w:ascii="TheSans Spire" w:hAnsi="TheSans Spire" w:cs="Arial"/>
          <w:i/>
          <w:sz w:val="18"/>
          <w:szCs w:val="18"/>
        </w:rPr>
      </w:pPr>
      <w:r w:rsidRPr="009616C7">
        <w:rPr>
          <w:rFonts w:ascii="TheSans Spire" w:hAnsi="TheSans Spire" w:cs="Arial"/>
          <w:b/>
          <w:i/>
          <w:sz w:val="18"/>
          <w:szCs w:val="18"/>
        </w:rPr>
        <w:t xml:space="preserve">Neutral impact:  </w:t>
      </w:r>
      <w:r>
        <w:rPr>
          <w:rFonts w:ascii="TheSans Spire" w:hAnsi="TheSans Spire" w:cs="Arial"/>
          <w:i/>
          <w:sz w:val="18"/>
          <w:szCs w:val="18"/>
        </w:rPr>
        <w:t>a policy / document</w:t>
      </w:r>
      <w:r w:rsidRPr="009616C7">
        <w:rPr>
          <w:rFonts w:ascii="TheSans Spire" w:hAnsi="TheSans Spire" w:cs="Arial"/>
          <w:i/>
          <w:sz w:val="18"/>
          <w:szCs w:val="18"/>
        </w:rPr>
        <w:t xml:space="preserve"> with</w:t>
      </w:r>
      <w:r w:rsidRPr="009616C7">
        <w:rPr>
          <w:rFonts w:ascii="TheSans Spire" w:hAnsi="TheSans Spire" w:cs="Arial"/>
          <w:b/>
          <w:i/>
          <w:sz w:val="18"/>
          <w:szCs w:val="18"/>
        </w:rPr>
        <w:t xml:space="preserve"> </w:t>
      </w:r>
      <w:r w:rsidRPr="009616C7">
        <w:rPr>
          <w:rFonts w:ascii="TheSans Spire" w:hAnsi="TheSans Spire" w:cs="Arial"/>
          <w:i/>
          <w:sz w:val="18"/>
          <w:szCs w:val="18"/>
        </w:rPr>
        <w:t>neither a positive</w:t>
      </w:r>
      <w:r>
        <w:rPr>
          <w:rFonts w:ascii="TheSans Spire" w:hAnsi="TheSans Spire" w:cs="Arial"/>
          <w:i/>
          <w:sz w:val="18"/>
          <w:szCs w:val="18"/>
        </w:rPr>
        <w:t xml:space="preserve"> /</w:t>
      </w:r>
      <w:r w:rsidRPr="009616C7">
        <w:rPr>
          <w:rFonts w:ascii="TheSans Spire" w:hAnsi="TheSans Spire" w:cs="Arial"/>
          <w:i/>
          <w:sz w:val="18"/>
          <w:szCs w:val="18"/>
        </w:rPr>
        <w:t xml:space="preserve"> negative impact on any group or groups of colleagues</w:t>
      </w:r>
      <w:r>
        <w:rPr>
          <w:rFonts w:ascii="TheSans Spire" w:hAnsi="TheSans Spire" w:cs="Arial"/>
          <w:i/>
          <w:sz w:val="18"/>
          <w:szCs w:val="18"/>
        </w:rPr>
        <w:t xml:space="preserve"> / patients</w:t>
      </w:r>
      <w:r w:rsidRPr="009616C7">
        <w:rPr>
          <w:rFonts w:ascii="TheSans Spire" w:hAnsi="TheSans Spire" w:cs="Arial"/>
          <w:i/>
          <w:sz w:val="18"/>
          <w:szCs w:val="18"/>
        </w:rPr>
        <w:t xml:space="preserve">, compared to others.  </w:t>
      </w:r>
    </w:p>
    <w:tbl>
      <w:tblPr>
        <w:tblW w:w="10206" w:type="dxa"/>
        <w:tblInd w:w="-5" w:type="dxa"/>
        <w:tblBorders>
          <w:top w:val="single" w:sz="4" w:space="0" w:color="008583"/>
          <w:left w:val="single" w:sz="4" w:space="0" w:color="008583"/>
          <w:bottom w:val="single" w:sz="4" w:space="0" w:color="008583"/>
          <w:right w:val="single" w:sz="4" w:space="0" w:color="008583"/>
          <w:insideH w:val="single" w:sz="4" w:space="0" w:color="008583"/>
          <w:insideV w:val="single" w:sz="4" w:space="0" w:color="008583"/>
        </w:tblBorders>
        <w:tblLayout w:type="fixed"/>
        <w:tblLook w:val="01E0" w:firstRow="1" w:lastRow="1" w:firstColumn="1" w:lastColumn="1" w:noHBand="0" w:noVBand="0"/>
      </w:tblPr>
      <w:tblGrid>
        <w:gridCol w:w="2694"/>
        <w:gridCol w:w="4252"/>
        <w:gridCol w:w="3260"/>
      </w:tblGrid>
      <w:tr w:rsidR="00AB2AC6" w:rsidRPr="002D10EC" w14:paraId="5B9C70F0" w14:textId="77777777" w:rsidTr="00BE34F8">
        <w:tc>
          <w:tcPr>
            <w:tcW w:w="2694" w:type="dxa"/>
            <w:shd w:val="clear" w:color="auto" w:fill="F2F2F2"/>
            <w:vAlign w:val="center"/>
          </w:tcPr>
          <w:p w14:paraId="4B956A62" w14:textId="77777777" w:rsidR="00AB2AC6" w:rsidRPr="00846F2B" w:rsidRDefault="00AB2AC6" w:rsidP="00BE34F8">
            <w:pPr>
              <w:spacing w:before="40" w:after="40"/>
              <w:jc w:val="center"/>
              <w:rPr>
                <w:rFonts w:ascii="TheSans Spire" w:hAnsi="TheSans Spire" w:cs="Arial"/>
                <w:b/>
                <w:color w:val="008385"/>
                <w:sz w:val="20"/>
                <w:szCs w:val="20"/>
              </w:rPr>
            </w:pPr>
            <w:r w:rsidRPr="00846F2B">
              <w:rPr>
                <w:rFonts w:ascii="TheSans Spire" w:hAnsi="TheSans Spire" w:cs="Arial"/>
                <w:b/>
                <w:color w:val="008385"/>
                <w:sz w:val="20"/>
                <w:szCs w:val="20"/>
              </w:rPr>
              <w:t>Group</w:t>
            </w:r>
            <w:r>
              <w:rPr>
                <w:rFonts w:ascii="TheSans Spire" w:hAnsi="TheSans Spire" w:cs="Arial"/>
                <w:b/>
                <w:color w:val="008385"/>
                <w:sz w:val="20"/>
                <w:szCs w:val="20"/>
              </w:rPr>
              <w:t>: Colleague / Patient</w:t>
            </w:r>
          </w:p>
        </w:tc>
        <w:tc>
          <w:tcPr>
            <w:tcW w:w="4252" w:type="dxa"/>
            <w:shd w:val="pct5" w:color="auto" w:fill="auto"/>
            <w:vAlign w:val="center"/>
          </w:tcPr>
          <w:p w14:paraId="3E1F0BE4" w14:textId="77777777" w:rsidR="00AB2AC6" w:rsidRPr="002D10EC" w:rsidRDefault="00AB2AC6" w:rsidP="00BE34F8">
            <w:pPr>
              <w:spacing w:before="40" w:after="40"/>
              <w:ind w:left="34"/>
              <w:jc w:val="center"/>
              <w:rPr>
                <w:rFonts w:ascii="TheSans Spire" w:hAnsi="TheSans Spire" w:cs="Arial"/>
                <w:b/>
                <w:color w:val="008385"/>
                <w:sz w:val="20"/>
                <w:szCs w:val="20"/>
              </w:rPr>
            </w:pPr>
            <w:r w:rsidRPr="002D10EC">
              <w:rPr>
                <w:rFonts w:ascii="TheSans Spire" w:hAnsi="TheSans Spire" w:cs="Arial"/>
                <w:b/>
                <w:color w:val="008385"/>
                <w:sz w:val="20"/>
                <w:szCs w:val="20"/>
              </w:rPr>
              <w:t>Considerations (examples)</w:t>
            </w:r>
          </w:p>
        </w:tc>
        <w:tc>
          <w:tcPr>
            <w:tcW w:w="3260" w:type="dxa"/>
            <w:shd w:val="pct5" w:color="auto" w:fill="auto"/>
            <w:vAlign w:val="center"/>
          </w:tcPr>
          <w:p w14:paraId="4817FEF2" w14:textId="77777777" w:rsidR="00AB2AC6" w:rsidRPr="002D10EC" w:rsidRDefault="00AB2AC6" w:rsidP="00BE34F8">
            <w:pPr>
              <w:spacing w:before="40" w:after="40"/>
              <w:jc w:val="center"/>
              <w:rPr>
                <w:rFonts w:ascii="TheSans Spire" w:hAnsi="TheSans Spire" w:cs="Arial"/>
                <w:b/>
                <w:color w:val="008385"/>
                <w:sz w:val="20"/>
                <w:szCs w:val="20"/>
              </w:rPr>
            </w:pPr>
            <w:r>
              <w:rPr>
                <w:rFonts w:ascii="TheSans Spire" w:hAnsi="TheSans Spire" w:cs="Arial"/>
                <w:b/>
                <w:color w:val="008385"/>
                <w:sz w:val="20"/>
                <w:szCs w:val="20"/>
              </w:rPr>
              <w:t>Impact (check box)</w:t>
            </w:r>
          </w:p>
        </w:tc>
      </w:tr>
      <w:tr w:rsidR="00AB2AC6" w:rsidRPr="002D10EC" w14:paraId="56587735" w14:textId="77777777" w:rsidTr="00BE34F8">
        <w:trPr>
          <w:trHeight w:val="60"/>
        </w:trPr>
        <w:tc>
          <w:tcPr>
            <w:tcW w:w="2694" w:type="dxa"/>
          </w:tcPr>
          <w:p w14:paraId="1BA59E07" w14:textId="77777777" w:rsidR="00AB2AC6" w:rsidRPr="00846F2B" w:rsidRDefault="00AB2AC6" w:rsidP="00BE34F8">
            <w:pPr>
              <w:spacing w:after="0"/>
              <w:rPr>
                <w:rFonts w:ascii="TheSans Spire" w:hAnsi="TheSans Spire" w:cs="Arial"/>
                <w:sz w:val="18"/>
                <w:szCs w:val="18"/>
              </w:rPr>
            </w:pPr>
            <w:r w:rsidRPr="00846F2B">
              <w:rPr>
                <w:rFonts w:ascii="TheSans Spire" w:hAnsi="TheSans Spire" w:cs="Arial"/>
                <w:sz w:val="18"/>
                <w:szCs w:val="18"/>
              </w:rPr>
              <w:t>Sex</w:t>
            </w:r>
          </w:p>
        </w:tc>
        <w:tc>
          <w:tcPr>
            <w:tcW w:w="4252" w:type="dxa"/>
          </w:tcPr>
          <w:p w14:paraId="3BAC292B" w14:textId="77777777" w:rsidR="00AB2AC6" w:rsidRPr="002D10EC" w:rsidRDefault="00AB2AC6" w:rsidP="00BE34F8">
            <w:pPr>
              <w:spacing w:after="0"/>
              <w:rPr>
                <w:rFonts w:cs="Arial"/>
                <w:sz w:val="18"/>
                <w:szCs w:val="18"/>
              </w:rPr>
            </w:pPr>
          </w:p>
        </w:tc>
        <w:tc>
          <w:tcPr>
            <w:tcW w:w="3260" w:type="dxa"/>
          </w:tcPr>
          <w:p w14:paraId="56B41A0E" w14:textId="56EAEA95" w:rsidR="00AB2AC6" w:rsidRPr="002D10EC" w:rsidRDefault="0034538A" w:rsidP="00BE34F8">
            <w:pPr>
              <w:spacing w:after="0"/>
              <w:rPr>
                <w:rFonts w:cs="Arial"/>
                <w:sz w:val="18"/>
                <w:szCs w:val="18"/>
              </w:rPr>
            </w:pPr>
            <w:sdt>
              <w:sdtPr>
                <w:rPr>
                  <w:rFonts w:cs="Arial"/>
                  <w:sz w:val="18"/>
                  <w:szCs w:val="18"/>
                </w:rPr>
                <w:id w:val="1626580758"/>
                <w14:checkbox>
                  <w14:checked w14:val="0"/>
                  <w14:checkedState w14:val="2612" w14:font="MS Gothic"/>
                  <w14:uncheckedState w14:val="2610" w14:font="MS Gothic"/>
                </w14:checkbox>
              </w:sdtPr>
              <w:sdtEndPr/>
              <w:sdtContent>
                <w:r w:rsidR="00AB2AC6">
                  <w:rPr>
                    <w:rFonts w:ascii="MS Gothic" w:eastAsia="MS Gothic" w:hAnsi="MS Gothic" w:cs="Arial" w:hint="eastAsia"/>
                    <w:sz w:val="18"/>
                    <w:szCs w:val="18"/>
                  </w:rPr>
                  <w:t>☐</w:t>
                </w:r>
              </w:sdtContent>
            </w:sdt>
            <w:r w:rsidR="00AB2AC6">
              <w:rPr>
                <w:rFonts w:cs="Arial"/>
                <w:sz w:val="18"/>
                <w:szCs w:val="18"/>
              </w:rPr>
              <w:t xml:space="preserve">  Positive     </w:t>
            </w:r>
            <w:sdt>
              <w:sdtPr>
                <w:rPr>
                  <w:rFonts w:cs="Arial"/>
                  <w:sz w:val="18"/>
                  <w:szCs w:val="18"/>
                </w:rPr>
                <w:id w:val="1645478147"/>
                <w14:checkbox>
                  <w14:checked w14:val="1"/>
                  <w14:checkedState w14:val="2612" w14:font="MS Gothic"/>
                  <w14:uncheckedState w14:val="2610" w14:font="MS Gothic"/>
                </w14:checkbox>
              </w:sdtPr>
              <w:sdtEndPr/>
              <w:sdtContent>
                <w:r w:rsidR="00372EF9">
                  <w:rPr>
                    <w:rFonts w:ascii="MS Gothic" w:eastAsia="MS Gothic" w:hAnsi="MS Gothic" w:cs="Arial" w:hint="eastAsia"/>
                    <w:sz w:val="18"/>
                    <w:szCs w:val="18"/>
                  </w:rPr>
                  <w:t>☒</w:t>
                </w:r>
              </w:sdtContent>
            </w:sdt>
            <w:r w:rsidR="00AB2AC6">
              <w:rPr>
                <w:rFonts w:cs="Arial"/>
                <w:sz w:val="18"/>
                <w:szCs w:val="18"/>
              </w:rPr>
              <w:t xml:space="preserve">  Neutral     </w:t>
            </w:r>
            <w:sdt>
              <w:sdtPr>
                <w:rPr>
                  <w:rFonts w:cs="Arial"/>
                  <w:sz w:val="18"/>
                  <w:szCs w:val="18"/>
                </w:rPr>
                <w:id w:val="744233860"/>
                <w14:checkbox>
                  <w14:checked w14:val="0"/>
                  <w14:checkedState w14:val="2612" w14:font="MS Gothic"/>
                  <w14:uncheckedState w14:val="2610" w14:font="MS Gothic"/>
                </w14:checkbox>
              </w:sdtPr>
              <w:sdtEndPr/>
              <w:sdtContent>
                <w:r w:rsidR="00AB2AC6">
                  <w:rPr>
                    <w:rFonts w:ascii="MS Gothic" w:eastAsia="MS Gothic" w:hAnsi="MS Gothic" w:cs="Arial" w:hint="eastAsia"/>
                    <w:sz w:val="18"/>
                    <w:szCs w:val="18"/>
                  </w:rPr>
                  <w:t>☐</w:t>
                </w:r>
              </w:sdtContent>
            </w:sdt>
            <w:r w:rsidR="00AB2AC6">
              <w:rPr>
                <w:rFonts w:cs="Arial"/>
                <w:sz w:val="18"/>
                <w:szCs w:val="18"/>
              </w:rPr>
              <w:t xml:space="preserve">  Negative</w:t>
            </w:r>
          </w:p>
        </w:tc>
      </w:tr>
      <w:tr w:rsidR="00AB2AC6" w:rsidRPr="002D10EC" w14:paraId="4C875538" w14:textId="77777777" w:rsidTr="00BE34F8">
        <w:tc>
          <w:tcPr>
            <w:tcW w:w="2694" w:type="dxa"/>
          </w:tcPr>
          <w:p w14:paraId="1AE20A37" w14:textId="77777777" w:rsidR="00AB2AC6" w:rsidRPr="00846F2B" w:rsidRDefault="00AB2AC6" w:rsidP="00BE34F8">
            <w:pPr>
              <w:spacing w:after="0"/>
              <w:rPr>
                <w:rFonts w:ascii="TheSans Spire" w:hAnsi="TheSans Spire" w:cs="Arial"/>
                <w:sz w:val="18"/>
                <w:szCs w:val="18"/>
              </w:rPr>
            </w:pPr>
            <w:r>
              <w:rPr>
                <w:rFonts w:ascii="TheSans Spire" w:hAnsi="TheSans Spire" w:cs="Arial"/>
                <w:sz w:val="18"/>
                <w:szCs w:val="18"/>
              </w:rPr>
              <w:t xml:space="preserve">Pregnancy / </w:t>
            </w:r>
            <w:r w:rsidRPr="00846F2B">
              <w:rPr>
                <w:rFonts w:ascii="TheSans Spire" w:hAnsi="TheSans Spire" w:cs="Arial"/>
                <w:sz w:val="18"/>
                <w:szCs w:val="18"/>
              </w:rPr>
              <w:t>m</w:t>
            </w:r>
            <w:r>
              <w:rPr>
                <w:rFonts w:ascii="TheSans Spire" w:hAnsi="TheSans Spire" w:cs="Arial"/>
                <w:sz w:val="18"/>
                <w:szCs w:val="18"/>
              </w:rPr>
              <w:t>aternity</w:t>
            </w:r>
          </w:p>
        </w:tc>
        <w:tc>
          <w:tcPr>
            <w:tcW w:w="4252" w:type="dxa"/>
          </w:tcPr>
          <w:p w14:paraId="6CAEB146" w14:textId="77777777" w:rsidR="00AB2AC6" w:rsidRPr="002D10EC" w:rsidRDefault="00AB2AC6" w:rsidP="00BE34F8">
            <w:pPr>
              <w:spacing w:after="0"/>
              <w:rPr>
                <w:sz w:val="18"/>
                <w:szCs w:val="18"/>
              </w:rPr>
            </w:pPr>
          </w:p>
        </w:tc>
        <w:tc>
          <w:tcPr>
            <w:tcW w:w="3260" w:type="dxa"/>
          </w:tcPr>
          <w:p w14:paraId="04D3CDB5" w14:textId="76B22288" w:rsidR="00AB2AC6" w:rsidRPr="002D10EC" w:rsidRDefault="0034538A" w:rsidP="00BE34F8">
            <w:pPr>
              <w:spacing w:after="0"/>
              <w:rPr>
                <w:rFonts w:cs="Arial"/>
                <w:sz w:val="18"/>
                <w:szCs w:val="18"/>
              </w:rPr>
            </w:pPr>
            <w:sdt>
              <w:sdtPr>
                <w:rPr>
                  <w:rFonts w:cs="Arial"/>
                  <w:sz w:val="18"/>
                  <w:szCs w:val="18"/>
                </w:rPr>
                <w:id w:val="1466394231"/>
                <w14:checkbox>
                  <w14:checked w14:val="0"/>
                  <w14:checkedState w14:val="2612" w14:font="MS Gothic"/>
                  <w14:uncheckedState w14:val="2610" w14:font="MS Gothic"/>
                </w14:checkbox>
              </w:sdtPr>
              <w:sdtEndPr/>
              <w:sdtContent>
                <w:r w:rsidR="00AB2AC6">
                  <w:rPr>
                    <w:rFonts w:ascii="MS Gothic" w:eastAsia="MS Gothic" w:hAnsi="MS Gothic" w:cs="Arial" w:hint="eastAsia"/>
                    <w:sz w:val="18"/>
                    <w:szCs w:val="18"/>
                  </w:rPr>
                  <w:t>☐</w:t>
                </w:r>
              </w:sdtContent>
            </w:sdt>
            <w:r w:rsidR="00AB2AC6">
              <w:rPr>
                <w:rFonts w:cs="Arial"/>
                <w:sz w:val="18"/>
                <w:szCs w:val="18"/>
              </w:rPr>
              <w:t xml:space="preserve">  Positive     </w:t>
            </w:r>
            <w:sdt>
              <w:sdtPr>
                <w:rPr>
                  <w:rFonts w:cs="Arial"/>
                  <w:sz w:val="18"/>
                  <w:szCs w:val="18"/>
                </w:rPr>
                <w:id w:val="1253397033"/>
                <w14:checkbox>
                  <w14:checked w14:val="1"/>
                  <w14:checkedState w14:val="2612" w14:font="MS Gothic"/>
                  <w14:uncheckedState w14:val="2610" w14:font="MS Gothic"/>
                </w14:checkbox>
              </w:sdtPr>
              <w:sdtEndPr/>
              <w:sdtContent>
                <w:r w:rsidR="00372EF9">
                  <w:rPr>
                    <w:rFonts w:ascii="MS Gothic" w:eastAsia="MS Gothic" w:hAnsi="MS Gothic" w:cs="Arial" w:hint="eastAsia"/>
                    <w:sz w:val="18"/>
                    <w:szCs w:val="18"/>
                  </w:rPr>
                  <w:t>☒</w:t>
                </w:r>
              </w:sdtContent>
            </w:sdt>
            <w:r w:rsidR="00AB2AC6">
              <w:rPr>
                <w:rFonts w:cs="Arial"/>
                <w:sz w:val="18"/>
                <w:szCs w:val="18"/>
              </w:rPr>
              <w:t xml:space="preserve">  Neutral     </w:t>
            </w:r>
            <w:sdt>
              <w:sdtPr>
                <w:rPr>
                  <w:rFonts w:cs="Arial"/>
                  <w:sz w:val="18"/>
                  <w:szCs w:val="18"/>
                </w:rPr>
                <w:id w:val="1078558561"/>
                <w14:checkbox>
                  <w14:checked w14:val="0"/>
                  <w14:checkedState w14:val="2612" w14:font="MS Gothic"/>
                  <w14:uncheckedState w14:val="2610" w14:font="MS Gothic"/>
                </w14:checkbox>
              </w:sdtPr>
              <w:sdtEndPr/>
              <w:sdtContent>
                <w:r w:rsidR="00AB2AC6">
                  <w:rPr>
                    <w:rFonts w:ascii="MS Gothic" w:eastAsia="MS Gothic" w:hAnsi="MS Gothic" w:cs="Arial" w:hint="eastAsia"/>
                    <w:sz w:val="18"/>
                    <w:szCs w:val="18"/>
                  </w:rPr>
                  <w:t>☐</w:t>
                </w:r>
              </w:sdtContent>
            </w:sdt>
            <w:r w:rsidR="00AB2AC6">
              <w:rPr>
                <w:rFonts w:cs="Arial"/>
                <w:sz w:val="18"/>
                <w:szCs w:val="18"/>
              </w:rPr>
              <w:t xml:space="preserve">  Negative</w:t>
            </w:r>
          </w:p>
        </w:tc>
      </w:tr>
      <w:tr w:rsidR="00AB2AC6" w:rsidRPr="002D10EC" w14:paraId="52BD1C04" w14:textId="77777777" w:rsidTr="00BE34F8">
        <w:tc>
          <w:tcPr>
            <w:tcW w:w="2694" w:type="dxa"/>
          </w:tcPr>
          <w:p w14:paraId="7EDD3595" w14:textId="77777777" w:rsidR="00AB2AC6" w:rsidRPr="00846F2B" w:rsidRDefault="00AB2AC6" w:rsidP="00BE34F8">
            <w:pPr>
              <w:spacing w:after="0"/>
              <w:rPr>
                <w:rFonts w:ascii="TheSans Spire" w:hAnsi="TheSans Spire" w:cs="Arial"/>
                <w:i/>
                <w:sz w:val="18"/>
                <w:szCs w:val="18"/>
              </w:rPr>
            </w:pPr>
            <w:r>
              <w:rPr>
                <w:rFonts w:ascii="TheSans Spire" w:hAnsi="TheSans Spire" w:cs="Arial"/>
                <w:sz w:val="18"/>
                <w:szCs w:val="18"/>
              </w:rPr>
              <w:t>Disability</w:t>
            </w:r>
          </w:p>
        </w:tc>
        <w:tc>
          <w:tcPr>
            <w:tcW w:w="4252" w:type="dxa"/>
          </w:tcPr>
          <w:p w14:paraId="075D9915" w14:textId="77777777" w:rsidR="00AB2AC6" w:rsidRPr="00F566EF" w:rsidRDefault="00AB2AC6" w:rsidP="00BE34F8">
            <w:pPr>
              <w:spacing w:after="0"/>
              <w:rPr>
                <w:rFonts w:ascii="TheSans Spire" w:hAnsi="TheSans Spire"/>
                <w:i/>
                <w:sz w:val="18"/>
                <w:szCs w:val="18"/>
              </w:rPr>
            </w:pPr>
            <w:r w:rsidRPr="00F566EF">
              <w:rPr>
                <w:rFonts w:ascii="TheSans Spire" w:hAnsi="TheSans Spire"/>
                <w:i/>
                <w:sz w:val="18"/>
                <w:szCs w:val="18"/>
              </w:rPr>
              <w:t>Do we need to consider large print or adapt for colleagues with Dyslexia?</w:t>
            </w:r>
          </w:p>
        </w:tc>
        <w:tc>
          <w:tcPr>
            <w:tcW w:w="3260" w:type="dxa"/>
          </w:tcPr>
          <w:p w14:paraId="2CC66929" w14:textId="7F1110DD" w:rsidR="00AB2AC6" w:rsidRPr="002D10EC" w:rsidRDefault="0034538A" w:rsidP="00BE34F8">
            <w:pPr>
              <w:spacing w:after="0"/>
              <w:rPr>
                <w:rFonts w:cs="Arial"/>
                <w:sz w:val="18"/>
                <w:szCs w:val="18"/>
              </w:rPr>
            </w:pPr>
            <w:sdt>
              <w:sdtPr>
                <w:rPr>
                  <w:rFonts w:cs="Arial"/>
                  <w:sz w:val="18"/>
                  <w:szCs w:val="18"/>
                </w:rPr>
                <w:id w:val="-583453671"/>
                <w14:checkbox>
                  <w14:checked w14:val="0"/>
                  <w14:checkedState w14:val="2612" w14:font="MS Gothic"/>
                  <w14:uncheckedState w14:val="2610" w14:font="MS Gothic"/>
                </w14:checkbox>
              </w:sdtPr>
              <w:sdtEndPr/>
              <w:sdtContent>
                <w:r w:rsidR="00AB2AC6">
                  <w:rPr>
                    <w:rFonts w:ascii="MS Gothic" w:eastAsia="MS Gothic" w:hAnsi="MS Gothic" w:cs="Arial" w:hint="eastAsia"/>
                    <w:sz w:val="18"/>
                    <w:szCs w:val="18"/>
                  </w:rPr>
                  <w:t>☐</w:t>
                </w:r>
              </w:sdtContent>
            </w:sdt>
            <w:r w:rsidR="00AB2AC6">
              <w:rPr>
                <w:rFonts w:cs="Arial"/>
                <w:sz w:val="18"/>
                <w:szCs w:val="18"/>
              </w:rPr>
              <w:t xml:space="preserve">  Positive     </w:t>
            </w:r>
            <w:sdt>
              <w:sdtPr>
                <w:rPr>
                  <w:rFonts w:cs="Arial"/>
                  <w:sz w:val="18"/>
                  <w:szCs w:val="18"/>
                </w:rPr>
                <w:id w:val="-194308162"/>
                <w14:checkbox>
                  <w14:checked w14:val="1"/>
                  <w14:checkedState w14:val="2612" w14:font="MS Gothic"/>
                  <w14:uncheckedState w14:val="2610" w14:font="MS Gothic"/>
                </w14:checkbox>
              </w:sdtPr>
              <w:sdtEndPr/>
              <w:sdtContent>
                <w:r w:rsidR="00372EF9">
                  <w:rPr>
                    <w:rFonts w:ascii="MS Gothic" w:eastAsia="MS Gothic" w:hAnsi="MS Gothic" w:cs="Arial" w:hint="eastAsia"/>
                    <w:sz w:val="18"/>
                    <w:szCs w:val="18"/>
                  </w:rPr>
                  <w:t>☒</w:t>
                </w:r>
              </w:sdtContent>
            </w:sdt>
            <w:r w:rsidR="00AB2AC6">
              <w:rPr>
                <w:rFonts w:cs="Arial"/>
                <w:sz w:val="18"/>
                <w:szCs w:val="18"/>
              </w:rPr>
              <w:t xml:space="preserve">  Neutral     </w:t>
            </w:r>
            <w:sdt>
              <w:sdtPr>
                <w:rPr>
                  <w:rFonts w:cs="Arial"/>
                  <w:sz w:val="18"/>
                  <w:szCs w:val="18"/>
                </w:rPr>
                <w:id w:val="306448730"/>
                <w14:checkbox>
                  <w14:checked w14:val="0"/>
                  <w14:checkedState w14:val="2612" w14:font="MS Gothic"/>
                  <w14:uncheckedState w14:val="2610" w14:font="MS Gothic"/>
                </w14:checkbox>
              </w:sdtPr>
              <w:sdtEndPr/>
              <w:sdtContent>
                <w:r w:rsidR="00AB2AC6">
                  <w:rPr>
                    <w:rFonts w:ascii="MS Gothic" w:eastAsia="MS Gothic" w:hAnsi="MS Gothic" w:cs="Arial" w:hint="eastAsia"/>
                    <w:sz w:val="18"/>
                    <w:szCs w:val="18"/>
                  </w:rPr>
                  <w:t>☐</w:t>
                </w:r>
              </w:sdtContent>
            </w:sdt>
            <w:r w:rsidR="00AB2AC6">
              <w:rPr>
                <w:rFonts w:cs="Arial"/>
                <w:sz w:val="18"/>
                <w:szCs w:val="18"/>
              </w:rPr>
              <w:t xml:space="preserve">  Negative</w:t>
            </w:r>
          </w:p>
        </w:tc>
      </w:tr>
      <w:tr w:rsidR="00AB2AC6" w:rsidRPr="002D10EC" w14:paraId="10E8782E" w14:textId="77777777" w:rsidTr="00BE34F8">
        <w:tc>
          <w:tcPr>
            <w:tcW w:w="2694" w:type="dxa"/>
          </w:tcPr>
          <w:p w14:paraId="3BE8A24A" w14:textId="77777777" w:rsidR="00AB2AC6" w:rsidRPr="00846F2B" w:rsidRDefault="00AB2AC6" w:rsidP="00BE34F8">
            <w:pPr>
              <w:spacing w:after="0"/>
              <w:rPr>
                <w:rFonts w:ascii="TheSans Spire" w:hAnsi="TheSans Spire" w:cs="Arial"/>
                <w:sz w:val="18"/>
                <w:szCs w:val="18"/>
              </w:rPr>
            </w:pPr>
            <w:r>
              <w:rPr>
                <w:rFonts w:ascii="TheSans Spire" w:hAnsi="TheSans Spire" w:cs="Arial"/>
                <w:sz w:val="18"/>
                <w:szCs w:val="18"/>
              </w:rPr>
              <w:t>Race (i</w:t>
            </w:r>
            <w:r w:rsidRPr="00846F2B">
              <w:rPr>
                <w:rFonts w:ascii="TheSans Spire" w:hAnsi="TheSans Spire" w:cs="Arial"/>
                <w:sz w:val="18"/>
                <w:szCs w:val="18"/>
              </w:rPr>
              <w:t>nc. ethnicity /nationality)</w:t>
            </w:r>
          </w:p>
        </w:tc>
        <w:tc>
          <w:tcPr>
            <w:tcW w:w="4252" w:type="dxa"/>
          </w:tcPr>
          <w:p w14:paraId="66A6CCBE" w14:textId="77777777" w:rsidR="00AB2AC6" w:rsidRPr="00F566EF" w:rsidRDefault="00AB2AC6" w:rsidP="00BE34F8">
            <w:pPr>
              <w:spacing w:after="0"/>
              <w:rPr>
                <w:rFonts w:ascii="TheSans Spire" w:hAnsi="TheSans Spire" w:cs="Arial"/>
                <w:i/>
                <w:sz w:val="18"/>
                <w:szCs w:val="18"/>
              </w:rPr>
            </w:pPr>
            <w:r w:rsidRPr="00F566EF">
              <w:rPr>
                <w:rFonts w:ascii="TheSans Spire" w:hAnsi="TheSans Spire" w:cs="Arial"/>
                <w:i/>
                <w:sz w:val="18"/>
                <w:szCs w:val="18"/>
              </w:rPr>
              <w:t>Is the policy inclusive and take into account different groups of people?</w:t>
            </w:r>
          </w:p>
        </w:tc>
        <w:tc>
          <w:tcPr>
            <w:tcW w:w="3260" w:type="dxa"/>
          </w:tcPr>
          <w:p w14:paraId="28098964" w14:textId="1D3449A5" w:rsidR="00AB2AC6" w:rsidRPr="002D10EC" w:rsidRDefault="0034538A" w:rsidP="00BE34F8">
            <w:pPr>
              <w:spacing w:after="0"/>
              <w:rPr>
                <w:rFonts w:cs="Arial"/>
                <w:sz w:val="18"/>
                <w:szCs w:val="18"/>
              </w:rPr>
            </w:pPr>
            <w:sdt>
              <w:sdtPr>
                <w:rPr>
                  <w:rFonts w:cs="Arial"/>
                  <w:sz w:val="18"/>
                  <w:szCs w:val="18"/>
                </w:rPr>
                <w:id w:val="-42987333"/>
                <w14:checkbox>
                  <w14:checked w14:val="0"/>
                  <w14:checkedState w14:val="2612" w14:font="MS Gothic"/>
                  <w14:uncheckedState w14:val="2610" w14:font="MS Gothic"/>
                </w14:checkbox>
              </w:sdtPr>
              <w:sdtEndPr/>
              <w:sdtContent>
                <w:r w:rsidR="00AB2AC6">
                  <w:rPr>
                    <w:rFonts w:ascii="MS Gothic" w:eastAsia="MS Gothic" w:hAnsi="MS Gothic" w:cs="Arial" w:hint="eastAsia"/>
                    <w:sz w:val="18"/>
                    <w:szCs w:val="18"/>
                  </w:rPr>
                  <w:t>☐</w:t>
                </w:r>
              </w:sdtContent>
            </w:sdt>
            <w:r w:rsidR="00AB2AC6">
              <w:rPr>
                <w:rFonts w:cs="Arial"/>
                <w:sz w:val="18"/>
                <w:szCs w:val="18"/>
              </w:rPr>
              <w:t xml:space="preserve">  Positive     </w:t>
            </w:r>
            <w:sdt>
              <w:sdtPr>
                <w:rPr>
                  <w:rFonts w:cs="Arial"/>
                  <w:sz w:val="18"/>
                  <w:szCs w:val="18"/>
                </w:rPr>
                <w:id w:val="553594452"/>
                <w14:checkbox>
                  <w14:checked w14:val="1"/>
                  <w14:checkedState w14:val="2612" w14:font="MS Gothic"/>
                  <w14:uncheckedState w14:val="2610" w14:font="MS Gothic"/>
                </w14:checkbox>
              </w:sdtPr>
              <w:sdtEndPr/>
              <w:sdtContent>
                <w:r w:rsidR="00372EF9">
                  <w:rPr>
                    <w:rFonts w:ascii="MS Gothic" w:eastAsia="MS Gothic" w:hAnsi="MS Gothic" w:cs="Arial" w:hint="eastAsia"/>
                    <w:sz w:val="18"/>
                    <w:szCs w:val="18"/>
                  </w:rPr>
                  <w:t>☒</w:t>
                </w:r>
              </w:sdtContent>
            </w:sdt>
            <w:r w:rsidR="00AB2AC6">
              <w:rPr>
                <w:rFonts w:cs="Arial"/>
                <w:sz w:val="18"/>
                <w:szCs w:val="18"/>
              </w:rPr>
              <w:t xml:space="preserve">  Neutral     </w:t>
            </w:r>
            <w:sdt>
              <w:sdtPr>
                <w:rPr>
                  <w:rFonts w:cs="Arial"/>
                  <w:sz w:val="18"/>
                  <w:szCs w:val="18"/>
                </w:rPr>
                <w:id w:val="-1444842388"/>
                <w14:checkbox>
                  <w14:checked w14:val="0"/>
                  <w14:checkedState w14:val="2612" w14:font="MS Gothic"/>
                  <w14:uncheckedState w14:val="2610" w14:font="MS Gothic"/>
                </w14:checkbox>
              </w:sdtPr>
              <w:sdtEndPr/>
              <w:sdtContent>
                <w:r w:rsidR="00AB2AC6">
                  <w:rPr>
                    <w:rFonts w:ascii="MS Gothic" w:eastAsia="MS Gothic" w:hAnsi="MS Gothic" w:cs="Arial" w:hint="eastAsia"/>
                    <w:sz w:val="18"/>
                    <w:szCs w:val="18"/>
                  </w:rPr>
                  <w:t>☐</w:t>
                </w:r>
              </w:sdtContent>
            </w:sdt>
            <w:r w:rsidR="00AB2AC6">
              <w:rPr>
                <w:rFonts w:cs="Arial"/>
                <w:sz w:val="18"/>
                <w:szCs w:val="18"/>
              </w:rPr>
              <w:t xml:space="preserve">  Negative</w:t>
            </w:r>
          </w:p>
        </w:tc>
      </w:tr>
      <w:tr w:rsidR="00AB2AC6" w:rsidRPr="002D10EC" w14:paraId="26552282" w14:textId="77777777" w:rsidTr="00BE34F8">
        <w:trPr>
          <w:trHeight w:val="558"/>
        </w:trPr>
        <w:tc>
          <w:tcPr>
            <w:tcW w:w="2694" w:type="dxa"/>
          </w:tcPr>
          <w:p w14:paraId="41572EB0" w14:textId="77777777" w:rsidR="00AB2AC6" w:rsidRPr="00846F2B" w:rsidRDefault="00AB2AC6" w:rsidP="00BE34F8">
            <w:pPr>
              <w:spacing w:after="0"/>
              <w:rPr>
                <w:rFonts w:ascii="TheSans Spire" w:hAnsi="TheSans Spire" w:cs="Arial"/>
                <w:sz w:val="18"/>
                <w:szCs w:val="18"/>
              </w:rPr>
            </w:pPr>
            <w:r>
              <w:rPr>
                <w:rFonts w:ascii="TheSans Spire" w:hAnsi="TheSans Spire" w:cs="Arial"/>
                <w:sz w:val="18"/>
                <w:szCs w:val="18"/>
              </w:rPr>
              <w:t>Age</w:t>
            </w:r>
          </w:p>
          <w:p w14:paraId="48A6F5B2" w14:textId="77777777" w:rsidR="00AB2AC6" w:rsidRPr="00846F2B" w:rsidRDefault="00AB2AC6" w:rsidP="00BE34F8">
            <w:pPr>
              <w:spacing w:after="0"/>
              <w:rPr>
                <w:rFonts w:ascii="TheSans Spire" w:hAnsi="TheSans Spire" w:cs="Arial"/>
                <w:sz w:val="18"/>
                <w:szCs w:val="18"/>
              </w:rPr>
            </w:pPr>
          </w:p>
        </w:tc>
        <w:tc>
          <w:tcPr>
            <w:tcW w:w="4252" w:type="dxa"/>
          </w:tcPr>
          <w:p w14:paraId="482C8CBF" w14:textId="77777777" w:rsidR="00AB2AC6" w:rsidRPr="00846F2B" w:rsidRDefault="00AB2AC6" w:rsidP="00BE34F8">
            <w:pPr>
              <w:spacing w:after="0"/>
              <w:rPr>
                <w:rFonts w:ascii="TheSans Spire" w:hAnsi="TheSans Spire" w:cs="Arial"/>
                <w:i/>
                <w:sz w:val="18"/>
                <w:szCs w:val="18"/>
              </w:rPr>
            </w:pPr>
            <w:r w:rsidRPr="00846F2B">
              <w:rPr>
                <w:rFonts w:ascii="TheSans Spire" w:hAnsi="TheSans Spire" w:cs="Arial"/>
                <w:i/>
                <w:sz w:val="18"/>
                <w:szCs w:val="18"/>
              </w:rPr>
              <w:t>Are their ways older / younger people might</w:t>
            </w:r>
            <w:r>
              <w:rPr>
                <w:rFonts w:ascii="TheSans Spire" w:hAnsi="TheSans Spire" w:cs="Arial"/>
                <w:i/>
                <w:sz w:val="18"/>
                <w:szCs w:val="18"/>
              </w:rPr>
              <w:t xml:space="preserve"> find it difficult to engage with the policy</w:t>
            </w:r>
            <w:r w:rsidRPr="00846F2B">
              <w:rPr>
                <w:rFonts w:ascii="TheSans Spire" w:hAnsi="TheSans Spire" w:cs="Arial"/>
                <w:i/>
                <w:sz w:val="18"/>
                <w:szCs w:val="18"/>
              </w:rPr>
              <w:t>?</w:t>
            </w:r>
          </w:p>
        </w:tc>
        <w:tc>
          <w:tcPr>
            <w:tcW w:w="3260" w:type="dxa"/>
          </w:tcPr>
          <w:p w14:paraId="7020687B" w14:textId="064E539B" w:rsidR="00AB2AC6" w:rsidRPr="002D10EC" w:rsidRDefault="0034538A" w:rsidP="00BE34F8">
            <w:pPr>
              <w:spacing w:after="0"/>
              <w:rPr>
                <w:rFonts w:cs="Arial"/>
                <w:sz w:val="18"/>
                <w:szCs w:val="18"/>
              </w:rPr>
            </w:pPr>
            <w:sdt>
              <w:sdtPr>
                <w:rPr>
                  <w:rFonts w:cs="Arial"/>
                  <w:sz w:val="18"/>
                  <w:szCs w:val="18"/>
                </w:rPr>
                <w:id w:val="-1195534128"/>
                <w14:checkbox>
                  <w14:checked w14:val="0"/>
                  <w14:checkedState w14:val="2612" w14:font="MS Gothic"/>
                  <w14:uncheckedState w14:val="2610" w14:font="MS Gothic"/>
                </w14:checkbox>
              </w:sdtPr>
              <w:sdtEndPr/>
              <w:sdtContent>
                <w:r w:rsidR="00AB2AC6">
                  <w:rPr>
                    <w:rFonts w:ascii="MS Gothic" w:eastAsia="MS Gothic" w:hAnsi="MS Gothic" w:cs="Arial" w:hint="eastAsia"/>
                    <w:sz w:val="18"/>
                    <w:szCs w:val="18"/>
                  </w:rPr>
                  <w:t>☐</w:t>
                </w:r>
              </w:sdtContent>
            </w:sdt>
            <w:r w:rsidR="00AB2AC6">
              <w:rPr>
                <w:rFonts w:cs="Arial"/>
                <w:sz w:val="18"/>
                <w:szCs w:val="18"/>
              </w:rPr>
              <w:t xml:space="preserve">  Positive     </w:t>
            </w:r>
            <w:sdt>
              <w:sdtPr>
                <w:rPr>
                  <w:rFonts w:cs="Arial"/>
                  <w:sz w:val="18"/>
                  <w:szCs w:val="18"/>
                </w:rPr>
                <w:id w:val="-1233771400"/>
                <w14:checkbox>
                  <w14:checked w14:val="1"/>
                  <w14:checkedState w14:val="2612" w14:font="MS Gothic"/>
                  <w14:uncheckedState w14:val="2610" w14:font="MS Gothic"/>
                </w14:checkbox>
              </w:sdtPr>
              <w:sdtEndPr/>
              <w:sdtContent>
                <w:r w:rsidR="00372EF9">
                  <w:rPr>
                    <w:rFonts w:ascii="MS Gothic" w:eastAsia="MS Gothic" w:hAnsi="MS Gothic" w:cs="Arial" w:hint="eastAsia"/>
                    <w:sz w:val="18"/>
                    <w:szCs w:val="18"/>
                  </w:rPr>
                  <w:t>☒</w:t>
                </w:r>
              </w:sdtContent>
            </w:sdt>
            <w:r w:rsidR="00AB2AC6">
              <w:rPr>
                <w:rFonts w:cs="Arial"/>
                <w:sz w:val="18"/>
                <w:szCs w:val="18"/>
              </w:rPr>
              <w:t xml:space="preserve">  Neutral     </w:t>
            </w:r>
            <w:sdt>
              <w:sdtPr>
                <w:rPr>
                  <w:rFonts w:cs="Arial"/>
                  <w:sz w:val="18"/>
                  <w:szCs w:val="18"/>
                </w:rPr>
                <w:id w:val="1285847529"/>
                <w14:checkbox>
                  <w14:checked w14:val="0"/>
                  <w14:checkedState w14:val="2612" w14:font="MS Gothic"/>
                  <w14:uncheckedState w14:val="2610" w14:font="MS Gothic"/>
                </w14:checkbox>
              </w:sdtPr>
              <w:sdtEndPr/>
              <w:sdtContent>
                <w:r w:rsidR="00AB2AC6">
                  <w:rPr>
                    <w:rFonts w:ascii="MS Gothic" w:eastAsia="MS Gothic" w:hAnsi="MS Gothic" w:cs="Arial" w:hint="eastAsia"/>
                    <w:sz w:val="18"/>
                    <w:szCs w:val="18"/>
                  </w:rPr>
                  <w:t>☐</w:t>
                </w:r>
              </w:sdtContent>
            </w:sdt>
            <w:r w:rsidR="00AB2AC6">
              <w:rPr>
                <w:rFonts w:cs="Arial"/>
                <w:sz w:val="18"/>
                <w:szCs w:val="18"/>
              </w:rPr>
              <w:t xml:space="preserve">  Negative</w:t>
            </w:r>
          </w:p>
        </w:tc>
      </w:tr>
      <w:tr w:rsidR="00AB2AC6" w:rsidRPr="002D10EC" w14:paraId="4342EEDC" w14:textId="77777777" w:rsidTr="00BE34F8">
        <w:trPr>
          <w:trHeight w:val="558"/>
        </w:trPr>
        <w:tc>
          <w:tcPr>
            <w:tcW w:w="2694" w:type="dxa"/>
          </w:tcPr>
          <w:p w14:paraId="2B199764" w14:textId="77777777" w:rsidR="00AB2AC6" w:rsidRPr="00846F2B" w:rsidRDefault="00AB2AC6" w:rsidP="00BE34F8">
            <w:pPr>
              <w:spacing w:after="0"/>
              <w:rPr>
                <w:rFonts w:ascii="TheSans Spire" w:hAnsi="TheSans Spire" w:cs="Arial"/>
                <w:sz w:val="18"/>
                <w:szCs w:val="18"/>
              </w:rPr>
            </w:pPr>
            <w:r>
              <w:rPr>
                <w:rFonts w:ascii="TheSans Spire" w:hAnsi="TheSans Spire" w:cs="Arial"/>
                <w:sz w:val="18"/>
                <w:szCs w:val="18"/>
              </w:rPr>
              <w:t>Gender reassignment / trans / non-binary</w:t>
            </w:r>
          </w:p>
        </w:tc>
        <w:tc>
          <w:tcPr>
            <w:tcW w:w="4252" w:type="dxa"/>
          </w:tcPr>
          <w:p w14:paraId="0FD199B8" w14:textId="77777777" w:rsidR="00AB2AC6" w:rsidRPr="00846F2B" w:rsidRDefault="00AB2AC6" w:rsidP="00BE34F8">
            <w:pPr>
              <w:spacing w:after="0"/>
              <w:rPr>
                <w:rFonts w:ascii="TheSans Spire" w:hAnsi="TheSans Spire" w:cs="Arial"/>
                <w:i/>
                <w:sz w:val="18"/>
                <w:szCs w:val="18"/>
              </w:rPr>
            </w:pPr>
            <w:r w:rsidRPr="00846F2B">
              <w:rPr>
                <w:rFonts w:ascii="TheSans Spire" w:hAnsi="TheSans Spire" w:cs="Arial"/>
                <w:i/>
                <w:sz w:val="18"/>
                <w:szCs w:val="18"/>
              </w:rPr>
              <w:t>The language used inclusive of all groups e.g. they instead of he/she</w:t>
            </w:r>
            <w:r>
              <w:rPr>
                <w:rFonts w:ascii="TheSans Spire" w:hAnsi="TheSans Spire" w:cs="Arial"/>
                <w:i/>
                <w:sz w:val="18"/>
                <w:szCs w:val="18"/>
              </w:rPr>
              <w:t>.</w:t>
            </w:r>
          </w:p>
        </w:tc>
        <w:tc>
          <w:tcPr>
            <w:tcW w:w="3260" w:type="dxa"/>
          </w:tcPr>
          <w:p w14:paraId="7702D8C5" w14:textId="7FB37A1F" w:rsidR="00AB2AC6" w:rsidRPr="002D10EC" w:rsidRDefault="0034538A" w:rsidP="00BE34F8">
            <w:pPr>
              <w:spacing w:after="0"/>
              <w:rPr>
                <w:rFonts w:cs="Arial"/>
                <w:sz w:val="18"/>
                <w:szCs w:val="18"/>
              </w:rPr>
            </w:pPr>
            <w:sdt>
              <w:sdtPr>
                <w:rPr>
                  <w:rFonts w:cs="Arial"/>
                  <w:sz w:val="18"/>
                  <w:szCs w:val="18"/>
                </w:rPr>
                <w:id w:val="683947976"/>
                <w14:checkbox>
                  <w14:checked w14:val="0"/>
                  <w14:checkedState w14:val="2612" w14:font="MS Gothic"/>
                  <w14:uncheckedState w14:val="2610" w14:font="MS Gothic"/>
                </w14:checkbox>
              </w:sdtPr>
              <w:sdtEndPr/>
              <w:sdtContent>
                <w:r w:rsidR="00AB2AC6">
                  <w:rPr>
                    <w:rFonts w:ascii="MS Gothic" w:eastAsia="MS Gothic" w:hAnsi="MS Gothic" w:cs="Arial" w:hint="eastAsia"/>
                    <w:sz w:val="18"/>
                    <w:szCs w:val="18"/>
                  </w:rPr>
                  <w:t>☐</w:t>
                </w:r>
              </w:sdtContent>
            </w:sdt>
            <w:r w:rsidR="00AB2AC6">
              <w:rPr>
                <w:rFonts w:cs="Arial"/>
                <w:sz w:val="18"/>
                <w:szCs w:val="18"/>
              </w:rPr>
              <w:t xml:space="preserve">  Positive     </w:t>
            </w:r>
            <w:sdt>
              <w:sdtPr>
                <w:rPr>
                  <w:rFonts w:cs="Arial"/>
                  <w:sz w:val="18"/>
                  <w:szCs w:val="18"/>
                </w:rPr>
                <w:id w:val="1127438674"/>
                <w14:checkbox>
                  <w14:checked w14:val="1"/>
                  <w14:checkedState w14:val="2612" w14:font="MS Gothic"/>
                  <w14:uncheckedState w14:val="2610" w14:font="MS Gothic"/>
                </w14:checkbox>
              </w:sdtPr>
              <w:sdtEndPr/>
              <w:sdtContent>
                <w:r w:rsidR="00372EF9">
                  <w:rPr>
                    <w:rFonts w:ascii="MS Gothic" w:eastAsia="MS Gothic" w:hAnsi="MS Gothic" w:cs="Arial" w:hint="eastAsia"/>
                    <w:sz w:val="18"/>
                    <w:szCs w:val="18"/>
                  </w:rPr>
                  <w:t>☒</w:t>
                </w:r>
              </w:sdtContent>
            </w:sdt>
            <w:r w:rsidR="00AB2AC6">
              <w:rPr>
                <w:rFonts w:cs="Arial"/>
                <w:sz w:val="18"/>
                <w:szCs w:val="18"/>
              </w:rPr>
              <w:t xml:space="preserve">  Neutral     </w:t>
            </w:r>
            <w:sdt>
              <w:sdtPr>
                <w:rPr>
                  <w:rFonts w:cs="Arial"/>
                  <w:sz w:val="18"/>
                  <w:szCs w:val="18"/>
                </w:rPr>
                <w:id w:val="-58866511"/>
                <w14:checkbox>
                  <w14:checked w14:val="0"/>
                  <w14:checkedState w14:val="2612" w14:font="MS Gothic"/>
                  <w14:uncheckedState w14:val="2610" w14:font="MS Gothic"/>
                </w14:checkbox>
              </w:sdtPr>
              <w:sdtEndPr/>
              <w:sdtContent>
                <w:r w:rsidR="00AB2AC6">
                  <w:rPr>
                    <w:rFonts w:ascii="MS Gothic" w:eastAsia="MS Gothic" w:hAnsi="MS Gothic" w:cs="Arial" w:hint="eastAsia"/>
                    <w:sz w:val="18"/>
                    <w:szCs w:val="18"/>
                  </w:rPr>
                  <w:t>☐</w:t>
                </w:r>
              </w:sdtContent>
            </w:sdt>
            <w:r w:rsidR="00AB2AC6">
              <w:rPr>
                <w:rFonts w:cs="Arial"/>
                <w:sz w:val="18"/>
                <w:szCs w:val="18"/>
              </w:rPr>
              <w:t xml:space="preserve">  Negative</w:t>
            </w:r>
          </w:p>
        </w:tc>
      </w:tr>
      <w:tr w:rsidR="00AB2AC6" w:rsidRPr="002D10EC" w14:paraId="6A3E14D7" w14:textId="77777777" w:rsidTr="00BE34F8">
        <w:trPr>
          <w:trHeight w:val="187"/>
        </w:trPr>
        <w:tc>
          <w:tcPr>
            <w:tcW w:w="2694" w:type="dxa"/>
          </w:tcPr>
          <w:p w14:paraId="79D239F9" w14:textId="77777777" w:rsidR="00AB2AC6" w:rsidRPr="00846F2B" w:rsidRDefault="00AB2AC6" w:rsidP="00BE34F8">
            <w:pPr>
              <w:spacing w:after="0"/>
              <w:rPr>
                <w:rFonts w:ascii="TheSans Spire" w:hAnsi="TheSans Spire" w:cs="Arial"/>
                <w:sz w:val="18"/>
                <w:szCs w:val="18"/>
              </w:rPr>
            </w:pPr>
            <w:r>
              <w:rPr>
                <w:rFonts w:ascii="TheSans Spire" w:hAnsi="TheSans Spire" w:cs="Arial"/>
                <w:sz w:val="18"/>
                <w:szCs w:val="18"/>
              </w:rPr>
              <w:t>Marriage /civil partnership</w:t>
            </w:r>
          </w:p>
        </w:tc>
        <w:tc>
          <w:tcPr>
            <w:tcW w:w="4252" w:type="dxa"/>
          </w:tcPr>
          <w:p w14:paraId="1106ED50" w14:textId="77777777" w:rsidR="00AB2AC6" w:rsidRPr="002D10EC" w:rsidRDefault="00AB2AC6" w:rsidP="00BE34F8">
            <w:pPr>
              <w:spacing w:after="0"/>
              <w:rPr>
                <w:rFonts w:ascii="TheSans Spire" w:hAnsi="TheSans Spire" w:cs="Arial"/>
                <w:sz w:val="18"/>
                <w:szCs w:val="18"/>
              </w:rPr>
            </w:pPr>
          </w:p>
        </w:tc>
        <w:tc>
          <w:tcPr>
            <w:tcW w:w="3260" w:type="dxa"/>
          </w:tcPr>
          <w:p w14:paraId="51CAC03F" w14:textId="57228315" w:rsidR="00AB2AC6" w:rsidRPr="002D10EC" w:rsidRDefault="0034538A" w:rsidP="00BE34F8">
            <w:pPr>
              <w:spacing w:after="0"/>
              <w:rPr>
                <w:rFonts w:cs="Arial"/>
                <w:sz w:val="18"/>
                <w:szCs w:val="18"/>
              </w:rPr>
            </w:pPr>
            <w:sdt>
              <w:sdtPr>
                <w:rPr>
                  <w:rFonts w:cs="Arial"/>
                  <w:sz w:val="18"/>
                  <w:szCs w:val="18"/>
                </w:rPr>
                <w:id w:val="451835901"/>
                <w14:checkbox>
                  <w14:checked w14:val="0"/>
                  <w14:checkedState w14:val="2612" w14:font="MS Gothic"/>
                  <w14:uncheckedState w14:val="2610" w14:font="MS Gothic"/>
                </w14:checkbox>
              </w:sdtPr>
              <w:sdtEndPr/>
              <w:sdtContent>
                <w:r w:rsidR="00AB2AC6">
                  <w:rPr>
                    <w:rFonts w:ascii="MS Gothic" w:eastAsia="MS Gothic" w:hAnsi="MS Gothic" w:cs="Arial" w:hint="eastAsia"/>
                    <w:sz w:val="18"/>
                    <w:szCs w:val="18"/>
                  </w:rPr>
                  <w:t>☐</w:t>
                </w:r>
              </w:sdtContent>
            </w:sdt>
            <w:r w:rsidR="00AB2AC6">
              <w:rPr>
                <w:rFonts w:cs="Arial"/>
                <w:sz w:val="18"/>
                <w:szCs w:val="18"/>
              </w:rPr>
              <w:t xml:space="preserve">  Positive     </w:t>
            </w:r>
            <w:sdt>
              <w:sdtPr>
                <w:rPr>
                  <w:rFonts w:cs="Arial"/>
                  <w:sz w:val="18"/>
                  <w:szCs w:val="18"/>
                </w:rPr>
                <w:id w:val="2090649627"/>
                <w14:checkbox>
                  <w14:checked w14:val="1"/>
                  <w14:checkedState w14:val="2612" w14:font="MS Gothic"/>
                  <w14:uncheckedState w14:val="2610" w14:font="MS Gothic"/>
                </w14:checkbox>
              </w:sdtPr>
              <w:sdtEndPr/>
              <w:sdtContent>
                <w:r w:rsidR="00372EF9">
                  <w:rPr>
                    <w:rFonts w:ascii="MS Gothic" w:eastAsia="MS Gothic" w:hAnsi="MS Gothic" w:cs="Arial" w:hint="eastAsia"/>
                    <w:sz w:val="18"/>
                    <w:szCs w:val="18"/>
                  </w:rPr>
                  <w:t>☒</w:t>
                </w:r>
              </w:sdtContent>
            </w:sdt>
            <w:r w:rsidR="00AB2AC6">
              <w:rPr>
                <w:rFonts w:cs="Arial"/>
                <w:sz w:val="18"/>
                <w:szCs w:val="18"/>
              </w:rPr>
              <w:t xml:space="preserve">  Neutral     </w:t>
            </w:r>
            <w:sdt>
              <w:sdtPr>
                <w:rPr>
                  <w:rFonts w:cs="Arial"/>
                  <w:sz w:val="18"/>
                  <w:szCs w:val="18"/>
                </w:rPr>
                <w:id w:val="235593577"/>
                <w14:checkbox>
                  <w14:checked w14:val="0"/>
                  <w14:checkedState w14:val="2612" w14:font="MS Gothic"/>
                  <w14:uncheckedState w14:val="2610" w14:font="MS Gothic"/>
                </w14:checkbox>
              </w:sdtPr>
              <w:sdtEndPr/>
              <w:sdtContent>
                <w:r w:rsidR="00AB2AC6">
                  <w:rPr>
                    <w:rFonts w:ascii="MS Gothic" w:eastAsia="MS Gothic" w:hAnsi="MS Gothic" w:cs="Arial" w:hint="eastAsia"/>
                    <w:sz w:val="18"/>
                    <w:szCs w:val="18"/>
                  </w:rPr>
                  <w:t>☐</w:t>
                </w:r>
              </w:sdtContent>
            </w:sdt>
            <w:r w:rsidR="00AB2AC6">
              <w:rPr>
                <w:rFonts w:cs="Arial"/>
                <w:sz w:val="18"/>
                <w:szCs w:val="18"/>
              </w:rPr>
              <w:t xml:space="preserve">  Negative</w:t>
            </w:r>
          </w:p>
        </w:tc>
      </w:tr>
      <w:tr w:rsidR="00AB2AC6" w:rsidRPr="002D10EC" w14:paraId="765D795C" w14:textId="77777777" w:rsidTr="00BE34F8">
        <w:tc>
          <w:tcPr>
            <w:tcW w:w="2694" w:type="dxa"/>
          </w:tcPr>
          <w:p w14:paraId="6AB261C8" w14:textId="77777777" w:rsidR="00AB2AC6" w:rsidRPr="00846F2B" w:rsidRDefault="00AB2AC6" w:rsidP="00BE34F8">
            <w:pPr>
              <w:spacing w:after="0"/>
              <w:rPr>
                <w:rFonts w:ascii="TheSans Spire" w:hAnsi="TheSans Spire" w:cs="Arial"/>
                <w:sz w:val="18"/>
                <w:szCs w:val="18"/>
              </w:rPr>
            </w:pPr>
            <w:r>
              <w:rPr>
                <w:rFonts w:ascii="TheSans Spire" w:hAnsi="TheSans Spire" w:cs="Arial"/>
                <w:sz w:val="18"/>
                <w:szCs w:val="18"/>
              </w:rPr>
              <w:t>Lesbian / gay /</w:t>
            </w:r>
            <w:r w:rsidRPr="00846F2B">
              <w:rPr>
                <w:rFonts w:ascii="TheSans Spire" w:hAnsi="TheSans Spire" w:cs="Arial"/>
                <w:sz w:val="18"/>
                <w:szCs w:val="18"/>
              </w:rPr>
              <w:t xml:space="preserve"> bisexual groups</w:t>
            </w:r>
          </w:p>
        </w:tc>
        <w:tc>
          <w:tcPr>
            <w:tcW w:w="4252" w:type="dxa"/>
          </w:tcPr>
          <w:p w14:paraId="585E2227" w14:textId="77777777" w:rsidR="00AB2AC6" w:rsidRPr="00846F2B" w:rsidRDefault="00AB2AC6" w:rsidP="00BE34F8">
            <w:pPr>
              <w:spacing w:after="0"/>
              <w:rPr>
                <w:rFonts w:ascii="TheSans Spire" w:hAnsi="TheSans Spire" w:cs="Arial"/>
                <w:i/>
                <w:sz w:val="18"/>
                <w:szCs w:val="18"/>
              </w:rPr>
            </w:pPr>
            <w:r w:rsidRPr="00846F2B">
              <w:rPr>
                <w:rFonts w:ascii="TheSans Spire" w:hAnsi="TheSans Spire" w:cs="Arial"/>
                <w:i/>
                <w:sz w:val="18"/>
                <w:szCs w:val="18"/>
              </w:rPr>
              <w:t>Is the language used inclusive of LGBTQ+?</w:t>
            </w:r>
          </w:p>
        </w:tc>
        <w:tc>
          <w:tcPr>
            <w:tcW w:w="3260" w:type="dxa"/>
          </w:tcPr>
          <w:p w14:paraId="2E510C9C" w14:textId="75723EE7" w:rsidR="00AB2AC6" w:rsidRPr="002D10EC" w:rsidRDefault="0034538A" w:rsidP="00BE34F8">
            <w:pPr>
              <w:spacing w:after="0"/>
              <w:rPr>
                <w:rFonts w:cs="Arial"/>
                <w:sz w:val="18"/>
                <w:szCs w:val="18"/>
              </w:rPr>
            </w:pPr>
            <w:sdt>
              <w:sdtPr>
                <w:rPr>
                  <w:rFonts w:cs="Arial"/>
                  <w:sz w:val="18"/>
                  <w:szCs w:val="18"/>
                </w:rPr>
                <w:id w:val="533844875"/>
                <w14:checkbox>
                  <w14:checked w14:val="0"/>
                  <w14:checkedState w14:val="2612" w14:font="MS Gothic"/>
                  <w14:uncheckedState w14:val="2610" w14:font="MS Gothic"/>
                </w14:checkbox>
              </w:sdtPr>
              <w:sdtEndPr/>
              <w:sdtContent>
                <w:r w:rsidR="00AB2AC6">
                  <w:rPr>
                    <w:rFonts w:ascii="MS Gothic" w:eastAsia="MS Gothic" w:hAnsi="MS Gothic" w:cs="Arial" w:hint="eastAsia"/>
                    <w:sz w:val="18"/>
                    <w:szCs w:val="18"/>
                  </w:rPr>
                  <w:t>☐</w:t>
                </w:r>
              </w:sdtContent>
            </w:sdt>
            <w:r w:rsidR="00AB2AC6">
              <w:rPr>
                <w:rFonts w:cs="Arial"/>
                <w:sz w:val="18"/>
                <w:szCs w:val="18"/>
              </w:rPr>
              <w:t xml:space="preserve">  Positive     </w:t>
            </w:r>
            <w:sdt>
              <w:sdtPr>
                <w:rPr>
                  <w:rFonts w:cs="Arial"/>
                  <w:sz w:val="18"/>
                  <w:szCs w:val="18"/>
                </w:rPr>
                <w:id w:val="-706419371"/>
                <w14:checkbox>
                  <w14:checked w14:val="1"/>
                  <w14:checkedState w14:val="2612" w14:font="MS Gothic"/>
                  <w14:uncheckedState w14:val="2610" w14:font="MS Gothic"/>
                </w14:checkbox>
              </w:sdtPr>
              <w:sdtEndPr/>
              <w:sdtContent>
                <w:r w:rsidR="00372EF9">
                  <w:rPr>
                    <w:rFonts w:ascii="MS Gothic" w:eastAsia="MS Gothic" w:hAnsi="MS Gothic" w:cs="Arial" w:hint="eastAsia"/>
                    <w:sz w:val="18"/>
                    <w:szCs w:val="18"/>
                  </w:rPr>
                  <w:t>☒</w:t>
                </w:r>
              </w:sdtContent>
            </w:sdt>
            <w:r w:rsidR="00AB2AC6">
              <w:rPr>
                <w:rFonts w:cs="Arial"/>
                <w:sz w:val="18"/>
                <w:szCs w:val="18"/>
              </w:rPr>
              <w:t xml:space="preserve">  Neutral     </w:t>
            </w:r>
            <w:sdt>
              <w:sdtPr>
                <w:rPr>
                  <w:rFonts w:cs="Arial"/>
                  <w:sz w:val="18"/>
                  <w:szCs w:val="18"/>
                </w:rPr>
                <w:id w:val="1672215020"/>
                <w14:checkbox>
                  <w14:checked w14:val="0"/>
                  <w14:checkedState w14:val="2612" w14:font="MS Gothic"/>
                  <w14:uncheckedState w14:val="2610" w14:font="MS Gothic"/>
                </w14:checkbox>
              </w:sdtPr>
              <w:sdtEndPr/>
              <w:sdtContent>
                <w:r w:rsidR="00AB2AC6">
                  <w:rPr>
                    <w:rFonts w:ascii="MS Gothic" w:eastAsia="MS Gothic" w:hAnsi="MS Gothic" w:cs="Arial" w:hint="eastAsia"/>
                    <w:sz w:val="18"/>
                    <w:szCs w:val="18"/>
                  </w:rPr>
                  <w:t>☐</w:t>
                </w:r>
              </w:sdtContent>
            </w:sdt>
            <w:r w:rsidR="00AB2AC6">
              <w:rPr>
                <w:rFonts w:cs="Arial"/>
                <w:sz w:val="18"/>
                <w:szCs w:val="18"/>
              </w:rPr>
              <w:t xml:space="preserve">  Negative</w:t>
            </w:r>
          </w:p>
        </w:tc>
      </w:tr>
      <w:tr w:rsidR="00AB2AC6" w:rsidRPr="002D10EC" w14:paraId="200CEBDF" w14:textId="77777777" w:rsidTr="00BE34F8">
        <w:tc>
          <w:tcPr>
            <w:tcW w:w="2694" w:type="dxa"/>
          </w:tcPr>
          <w:p w14:paraId="7B05C391" w14:textId="77777777" w:rsidR="00AB2AC6" w:rsidRPr="00846F2B" w:rsidRDefault="00AB2AC6" w:rsidP="00BE34F8">
            <w:pPr>
              <w:spacing w:after="0"/>
              <w:rPr>
                <w:rFonts w:ascii="TheSans Spire" w:hAnsi="TheSans Spire" w:cs="Arial"/>
                <w:sz w:val="18"/>
                <w:szCs w:val="18"/>
              </w:rPr>
            </w:pPr>
            <w:r>
              <w:rPr>
                <w:rFonts w:ascii="TheSans Spire" w:hAnsi="TheSans Spire" w:cs="Arial"/>
                <w:sz w:val="18"/>
                <w:szCs w:val="18"/>
              </w:rPr>
              <w:t>Faith /</w:t>
            </w:r>
            <w:r w:rsidRPr="00846F2B">
              <w:rPr>
                <w:rFonts w:ascii="TheSans Spire" w:hAnsi="TheSans Spire" w:cs="Arial"/>
                <w:sz w:val="18"/>
                <w:szCs w:val="18"/>
              </w:rPr>
              <w:t xml:space="preserve"> belief groups:</w:t>
            </w:r>
          </w:p>
        </w:tc>
        <w:tc>
          <w:tcPr>
            <w:tcW w:w="4252" w:type="dxa"/>
          </w:tcPr>
          <w:p w14:paraId="272C8957" w14:textId="77777777" w:rsidR="00AB2AC6" w:rsidRPr="00846F2B" w:rsidRDefault="00AB2AC6" w:rsidP="00BE34F8">
            <w:pPr>
              <w:spacing w:after="0"/>
              <w:rPr>
                <w:rFonts w:ascii="TheSans Spire" w:hAnsi="TheSans Spire" w:cs="Arial"/>
                <w:i/>
                <w:sz w:val="18"/>
                <w:szCs w:val="18"/>
              </w:rPr>
            </w:pPr>
            <w:r w:rsidRPr="00846F2B">
              <w:rPr>
                <w:rFonts w:ascii="TheSans Spire" w:hAnsi="TheSans Spire" w:cs="Arial"/>
                <w:i/>
                <w:sz w:val="18"/>
                <w:szCs w:val="18"/>
              </w:rPr>
              <w:t>Do faith groups experience a disadvantage in relation to the policy?</w:t>
            </w:r>
          </w:p>
        </w:tc>
        <w:tc>
          <w:tcPr>
            <w:tcW w:w="3260" w:type="dxa"/>
          </w:tcPr>
          <w:p w14:paraId="729D853A" w14:textId="5E1C617E" w:rsidR="00AB2AC6" w:rsidRPr="002D10EC" w:rsidRDefault="0034538A" w:rsidP="00BE34F8">
            <w:pPr>
              <w:spacing w:after="0"/>
              <w:rPr>
                <w:rFonts w:cs="Arial"/>
                <w:sz w:val="18"/>
                <w:szCs w:val="18"/>
              </w:rPr>
            </w:pPr>
            <w:sdt>
              <w:sdtPr>
                <w:rPr>
                  <w:rFonts w:cs="Arial"/>
                  <w:sz w:val="18"/>
                  <w:szCs w:val="18"/>
                </w:rPr>
                <w:id w:val="848212632"/>
                <w14:checkbox>
                  <w14:checked w14:val="0"/>
                  <w14:checkedState w14:val="2612" w14:font="MS Gothic"/>
                  <w14:uncheckedState w14:val="2610" w14:font="MS Gothic"/>
                </w14:checkbox>
              </w:sdtPr>
              <w:sdtEndPr/>
              <w:sdtContent>
                <w:r w:rsidR="00AB2AC6">
                  <w:rPr>
                    <w:rFonts w:ascii="MS Gothic" w:eastAsia="MS Gothic" w:hAnsi="MS Gothic" w:cs="Arial" w:hint="eastAsia"/>
                    <w:sz w:val="18"/>
                    <w:szCs w:val="18"/>
                  </w:rPr>
                  <w:t>☐</w:t>
                </w:r>
              </w:sdtContent>
            </w:sdt>
            <w:r w:rsidR="00AB2AC6">
              <w:rPr>
                <w:rFonts w:cs="Arial"/>
                <w:sz w:val="18"/>
                <w:szCs w:val="18"/>
              </w:rPr>
              <w:t xml:space="preserve">  Positive     </w:t>
            </w:r>
            <w:sdt>
              <w:sdtPr>
                <w:rPr>
                  <w:rFonts w:cs="Arial"/>
                  <w:sz w:val="18"/>
                  <w:szCs w:val="18"/>
                </w:rPr>
                <w:id w:val="-937592171"/>
                <w14:checkbox>
                  <w14:checked w14:val="1"/>
                  <w14:checkedState w14:val="2612" w14:font="MS Gothic"/>
                  <w14:uncheckedState w14:val="2610" w14:font="MS Gothic"/>
                </w14:checkbox>
              </w:sdtPr>
              <w:sdtEndPr/>
              <w:sdtContent>
                <w:r w:rsidR="00372EF9">
                  <w:rPr>
                    <w:rFonts w:ascii="MS Gothic" w:eastAsia="MS Gothic" w:hAnsi="MS Gothic" w:cs="Arial" w:hint="eastAsia"/>
                    <w:sz w:val="18"/>
                    <w:szCs w:val="18"/>
                  </w:rPr>
                  <w:t>☒</w:t>
                </w:r>
              </w:sdtContent>
            </w:sdt>
            <w:r w:rsidR="00AB2AC6">
              <w:rPr>
                <w:rFonts w:cs="Arial"/>
                <w:sz w:val="18"/>
                <w:szCs w:val="18"/>
              </w:rPr>
              <w:t xml:space="preserve">  Neutral     </w:t>
            </w:r>
            <w:sdt>
              <w:sdtPr>
                <w:rPr>
                  <w:rFonts w:cs="Arial"/>
                  <w:sz w:val="18"/>
                  <w:szCs w:val="18"/>
                </w:rPr>
                <w:id w:val="-157309874"/>
                <w14:checkbox>
                  <w14:checked w14:val="0"/>
                  <w14:checkedState w14:val="2612" w14:font="MS Gothic"/>
                  <w14:uncheckedState w14:val="2610" w14:font="MS Gothic"/>
                </w14:checkbox>
              </w:sdtPr>
              <w:sdtEndPr/>
              <w:sdtContent>
                <w:r w:rsidR="00AB2AC6">
                  <w:rPr>
                    <w:rFonts w:ascii="MS Gothic" w:eastAsia="MS Gothic" w:hAnsi="MS Gothic" w:cs="Arial" w:hint="eastAsia"/>
                    <w:sz w:val="18"/>
                    <w:szCs w:val="18"/>
                  </w:rPr>
                  <w:t>☐</w:t>
                </w:r>
              </w:sdtContent>
            </w:sdt>
            <w:r w:rsidR="00AB2AC6">
              <w:rPr>
                <w:rFonts w:cs="Arial"/>
                <w:sz w:val="18"/>
                <w:szCs w:val="18"/>
              </w:rPr>
              <w:t xml:space="preserve">  Negative</w:t>
            </w:r>
          </w:p>
        </w:tc>
      </w:tr>
      <w:tr w:rsidR="00AB2AC6" w:rsidRPr="002D10EC" w14:paraId="44C1C884" w14:textId="77777777" w:rsidTr="00BE34F8">
        <w:tc>
          <w:tcPr>
            <w:tcW w:w="2694" w:type="dxa"/>
          </w:tcPr>
          <w:p w14:paraId="2AC18FC6" w14:textId="77777777" w:rsidR="00AB2AC6" w:rsidRDefault="00AB2AC6" w:rsidP="00BE34F8">
            <w:pPr>
              <w:spacing w:after="0"/>
              <w:rPr>
                <w:rFonts w:ascii="TheSans Spire" w:hAnsi="TheSans Spire" w:cs="Arial"/>
                <w:sz w:val="18"/>
                <w:szCs w:val="18"/>
              </w:rPr>
            </w:pPr>
            <w:r>
              <w:rPr>
                <w:rFonts w:ascii="TheSans Spire" w:hAnsi="TheSans Spire" w:cs="Arial"/>
                <w:sz w:val="18"/>
                <w:szCs w:val="18"/>
              </w:rPr>
              <w:t>Welsh language</w:t>
            </w:r>
          </w:p>
        </w:tc>
        <w:tc>
          <w:tcPr>
            <w:tcW w:w="4252" w:type="dxa"/>
          </w:tcPr>
          <w:p w14:paraId="5EB55686" w14:textId="77777777" w:rsidR="00AB2AC6" w:rsidRPr="00345028" w:rsidRDefault="00AB2AC6" w:rsidP="00BE34F8">
            <w:pPr>
              <w:spacing w:after="0"/>
              <w:rPr>
                <w:rFonts w:ascii="TheSans Spire" w:hAnsi="TheSans Spire" w:cs="Arial"/>
                <w:i/>
                <w:sz w:val="18"/>
                <w:szCs w:val="18"/>
              </w:rPr>
            </w:pPr>
            <w:r w:rsidRPr="00345028">
              <w:rPr>
                <w:rFonts w:ascii="TheSans Spire" w:hAnsi="TheSans Spire" w:cs="Arial"/>
                <w:i/>
                <w:sz w:val="18"/>
                <w:szCs w:val="18"/>
              </w:rPr>
              <w:t>Level of fluency?</w:t>
            </w:r>
          </w:p>
        </w:tc>
        <w:tc>
          <w:tcPr>
            <w:tcW w:w="3260" w:type="dxa"/>
          </w:tcPr>
          <w:p w14:paraId="6DC54A56" w14:textId="632A0701" w:rsidR="00AB2AC6" w:rsidRPr="002D10EC" w:rsidRDefault="0034538A" w:rsidP="00BE34F8">
            <w:pPr>
              <w:spacing w:after="0"/>
              <w:rPr>
                <w:rFonts w:cs="Arial"/>
                <w:sz w:val="18"/>
                <w:szCs w:val="18"/>
              </w:rPr>
            </w:pPr>
            <w:sdt>
              <w:sdtPr>
                <w:rPr>
                  <w:rFonts w:cs="Arial"/>
                  <w:sz w:val="18"/>
                  <w:szCs w:val="18"/>
                </w:rPr>
                <w:id w:val="-1319261768"/>
                <w14:checkbox>
                  <w14:checked w14:val="0"/>
                  <w14:checkedState w14:val="2612" w14:font="MS Gothic"/>
                  <w14:uncheckedState w14:val="2610" w14:font="MS Gothic"/>
                </w14:checkbox>
              </w:sdtPr>
              <w:sdtEndPr/>
              <w:sdtContent>
                <w:r w:rsidR="00AB2AC6">
                  <w:rPr>
                    <w:rFonts w:ascii="MS Gothic" w:eastAsia="MS Gothic" w:hAnsi="MS Gothic" w:cs="Arial" w:hint="eastAsia"/>
                    <w:sz w:val="18"/>
                    <w:szCs w:val="18"/>
                  </w:rPr>
                  <w:t>☐</w:t>
                </w:r>
              </w:sdtContent>
            </w:sdt>
            <w:r w:rsidR="00AB2AC6">
              <w:rPr>
                <w:rFonts w:cs="Arial"/>
                <w:sz w:val="18"/>
                <w:szCs w:val="18"/>
              </w:rPr>
              <w:t xml:space="preserve">  Positive     </w:t>
            </w:r>
            <w:sdt>
              <w:sdtPr>
                <w:rPr>
                  <w:rFonts w:cs="Arial"/>
                  <w:sz w:val="18"/>
                  <w:szCs w:val="18"/>
                </w:rPr>
                <w:id w:val="1760953026"/>
                <w14:checkbox>
                  <w14:checked w14:val="1"/>
                  <w14:checkedState w14:val="2612" w14:font="MS Gothic"/>
                  <w14:uncheckedState w14:val="2610" w14:font="MS Gothic"/>
                </w14:checkbox>
              </w:sdtPr>
              <w:sdtEndPr/>
              <w:sdtContent>
                <w:r w:rsidR="00372EF9">
                  <w:rPr>
                    <w:rFonts w:ascii="MS Gothic" w:eastAsia="MS Gothic" w:hAnsi="MS Gothic" w:cs="Arial" w:hint="eastAsia"/>
                    <w:sz w:val="18"/>
                    <w:szCs w:val="18"/>
                  </w:rPr>
                  <w:t>☒</w:t>
                </w:r>
              </w:sdtContent>
            </w:sdt>
            <w:r w:rsidR="00AB2AC6">
              <w:rPr>
                <w:rFonts w:cs="Arial"/>
                <w:sz w:val="18"/>
                <w:szCs w:val="18"/>
              </w:rPr>
              <w:t xml:space="preserve">  Neutral     </w:t>
            </w:r>
            <w:sdt>
              <w:sdtPr>
                <w:rPr>
                  <w:rFonts w:cs="Arial"/>
                  <w:sz w:val="18"/>
                  <w:szCs w:val="18"/>
                </w:rPr>
                <w:id w:val="442811592"/>
                <w14:checkbox>
                  <w14:checked w14:val="0"/>
                  <w14:checkedState w14:val="2612" w14:font="MS Gothic"/>
                  <w14:uncheckedState w14:val="2610" w14:font="MS Gothic"/>
                </w14:checkbox>
              </w:sdtPr>
              <w:sdtEndPr/>
              <w:sdtContent>
                <w:r w:rsidR="00AB2AC6">
                  <w:rPr>
                    <w:rFonts w:ascii="MS Gothic" w:eastAsia="MS Gothic" w:hAnsi="MS Gothic" w:cs="Arial" w:hint="eastAsia"/>
                    <w:sz w:val="18"/>
                    <w:szCs w:val="18"/>
                  </w:rPr>
                  <w:t>☐</w:t>
                </w:r>
              </w:sdtContent>
            </w:sdt>
            <w:r w:rsidR="00AB2AC6">
              <w:rPr>
                <w:rFonts w:cs="Arial"/>
                <w:sz w:val="18"/>
                <w:szCs w:val="18"/>
              </w:rPr>
              <w:t xml:space="preserve">  Negative</w:t>
            </w:r>
          </w:p>
        </w:tc>
      </w:tr>
      <w:tr w:rsidR="00AB2AC6" w:rsidRPr="002D10EC" w14:paraId="5FF9DCE5" w14:textId="77777777" w:rsidTr="00BE34F8">
        <w:tc>
          <w:tcPr>
            <w:tcW w:w="2694" w:type="dxa"/>
          </w:tcPr>
          <w:p w14:paraId="593652C8" w14:textId="77777777" w:rsidR="00AB2AC6" w:rsidRDefault="00AB2AC6" w:rsidP="00BE34F8">
            <w:pPr>
              <w:spacing w:after="0"/>
              <w:rPr>
                <w:rFonts w:ascii="TheSans Spire" w:hAnsi="TheSans Spire" w:cs="Arial"/>
                <w:sz w:val="18"/>
                <w:szCs w:val="18"/>
              </w:rPr>
            </w:pPr>
            <w:r>
              <w:rPr>
                <w:rFonts w:ascii="TheSans Spire" w:hAnsi="TheSans Spire" w:cs="Arial"/>
                <w:sz w:val="18"/>
                <w:szCs w:val="18"/>
              </w:rPr>
              <w:t>Social deprivation</w:t>
            </w:r>
          </w:p>
        </w:tc>
        <w:tc>
          <w:tcPr>
            <w:tcW w:w="4252" w:type="dxa"/>
          </w:tcPr>
          <w:p w14:paraId="1412B2E7" w14:textId="77777777" w:rsidR="00AB2AC6" w:rsidRPr="00345028" w:rsidRDefault="00AB2AC6" w:rsidP="00BE34F8">
            <w:pPr>
              <w:spacing w:after="0"/>
              <w:rPr>
                <w:rFonts w:ascii="TheSans Spire" w:hAnsi="TheSans Spire" w:cs="Arial"/>
                <w:i/>
                <w:sz w:val="18"/>
                <w:szCs w:val="18"/>
              </w:rPr>
            </w:pPr>
            <w:r w:rsidRPr="00345028">
              <w:rPr>
                <w:rFonts w:ascii="TheSans Spire" w:hAnsi="TheSans Spire" w:cs="Arial"/>
                <w:i/>
                <w:sz w:val="18"/>
                <w:szCs w:val="18"/>
              </w:rPr>
              <w:t>Are their social factors to consider?</w:t>
            </w:r>
          </w:p>
        </w:tc>
        <w:tc>
          <w:tcPr>
            <w:tcW w:w="3260" w:type="dxa"/>
          </w:tcPr>
          <w:p w14:paraId="2C65FF24" w14:textId="7E5354E0" w:rsidR="00AB2AC6" w:rsidRPr="002D10EC" w:rsidRDefault="0034538A" w:rsidP="00BE34F8">
            <w:pPr>
              <w:spacing w:after="0"/>
              <w:rPr>
                <w:rFonts w:cs="Arial"/>
                <w:sz w:val="18"/>
                <w:szCs w:val="18"/>
              </w:rPr>
            </w:pPr>
            <w:sdt>
              <w:sdtPr>
                <w:rPr>
                  <w:rFonts w:cs="Arial"/>
                  <w:sz w:val="18"/>
                  <w:szCs w:val="18"/>
                </w:rPr>
                <w:id w:val="-1928417954"/>
                <w14:checkbox>
                  <w14:checked w14:val="0"/>
                  <w14:checkedState w14:val="2612" w14:font="MS Gothic"/>
                  <w14:uncheckedState w14:val="2610" w14:font="MS Gothic"/>
                </w14:checkbox>
              </w:sdtPr>
              <w:sdtEndPr/>
              <w:sdtContent>
                <w:r w:rsidR="00AB2AC6">
                  <w:rPr>
                    <w:rFonts w:ascii="MS Gothic" w:eastAsia="MS Gothic" w:hAnsi="MS Gothic" w:cs="Arial" w:hint="eastAsia"/>
                    <w:sz w:val="18"/>
                    <w:szCs w:val="18"/>
                  </w:rPr>
                  <w:t>☐</w:t>
                </w:r>
              </w:sdtContent>
            </w:sdt>
            <w:r w:rsidR="00AB2AC6">
              <w:rPr>
                <w:rFonts w:cs="Arial"/>
                <w:sz w:val="18"/>
                <w:szCs w:val="18"/>
              </w:rPr>
              <w:t xml:space="preserve">  Positive     </w:t>
            </w:r>
            <w:sdt>
              <w:sdtPr>
                <w:rPr>
                  <w:rFonts w:cs="Arial"/>
                  <w:sz w:val="18"/>
                  <w:szCs w:val="18"/>
                </w:rPr>
                <w:id w:val="1655188163"/>
                <w14:checkbox>
                  <w14:checked w14:val="1"/>
                  <w14:checkedState w14:val="2612" w14:font="MS Gothic"/>
                  <w14:uncheckedState w14:val="2610" w14:font="MS Gothic"/>
                </w14:checkbox>
              </w:sdtPr>
              <w:sdtEndPr/>
              <w:sdtContent>
                <w:r w:rsidR="00372EF9">
                  <w:rPr>
                    <w:rFonts w:ascii="MS Gothic" w:eastAsia="MS Gothic" w:hAnsi="MS Gothic" w:cs="Arial" w:hint="eastAsia"/>
                    <w:sz w:val="18"/>
                    <w:szCs w:val="18"/>
                  </w:rPr>
                  <w:t>☒</w:t>
                </w:r>
              </w:sdtContent>
            </w:sdt>
            <w:r w:rsidR="00AB2AC6">
              <w:rPr>
                <w:rFonts w:cs="Arial"/>
                <w:sz w:val="18"/>
                <w:szCs w:val="18"/>
              </w:rPr>
              <w:t xml:space="preserve">  Neutral     </w:t>
            </w:r>
            <w:sdt>
              <w:sdtPr>
                <w:rPr>
                  <w:rFonts w:cs="Arial"/>
                  <w:sz w:val="18"/>
                  <w:szCs w:val="18"/>
                </w:rPr>
                <w:id w:val="-987623912"/>
                <w14:checkbox>
                  <w14:checked w14:val="0"/>
                  <w14:checkedState w14:val="2612" w14:font="MS Gothic"/>
                  <w14:uncheckedState w14:val="2610" w14:font="MS Gothic"/>
                </w14:checkbox>
              </w:sdtPr>
              <w:sdtEndPr/>
              <w:sdtContent>
                <w:r w:rsidR="00AB2AC6">
                  <w:rPr>
                    <w:rFonts w:ascii="MS Gothic" w:eastAsia="MS Gothic" w:hAnsi="MS Gothic" w:cs="Arial" w:hint="eastAsia"/>
                    <w:sz w:val="18"/>
                    <w:szCs w:val="18"/>
                  </w:rPr>
                  <w:t>☐</w:t>
                </w:r>
              </w:sdtContent>
            </w:sdt>
            <w:r w:rsidR="00AB2AC6">
              <w:rPr>
                <w:rFonts w:cs="Arial"/>
                <w:sz w:val="18"/>
                <w:szCs w:val="18"/>
              </w:rPr>
              <w:t xml:space="preserve">  Negative</w:t>
            </w:r>
          </w:p>
        </w:tc>
      </w:tr>
    </w:tbl>
    <w:p w14:paraId="0F9C2EB6" w14:textId="77777777" w:rsidR="00AB2AC6" w:rsidRDefault="00AB2AC6" w:rsidP="00AB2AC6">
      <w:pPr>
        <w:spacing w:after="0"/>
        <w:rPr>
          <w:rFonts w:ascii="TheSans Spire Light" w:hAnsi="TheSans Spire Light"/>
        </w:rPr>
      </w:pPr>
    </w:p>
    <w:p w14:paraId="75B8B6B5" w14:textId="77777777" w:rsidR="00AB2AC6" w:rsidRPr="009616C7" w:rsidRDefault="00AB2AC6" w:rsidP="00AB2AC6">
      <w:pPr>
        <w:spacing w:after="0"/>
        <w:rPr>
          <w:rFonts w:ascii="TheSans Spire Light" w:hAnsi="TheSans Spire Light"/>
          <w:color w:val="008385"/>
          <w:sz w:val="20"/>
          <w:szCs w:val="20"/>
        </w:rPr>
      </w:pPr>
      <w:r w:rsidRPr="009616C7">
        <w:rPr>
          <w:rFonts w:ascii="TheSans Spire Light" w:hAnsi="TheSans Spire Light"/>
          <w:color w:val="008385"/>
          <w:sz w:val="20"/>
          <w:szCs w:val="20"/>
        </w:rPr>
        <w:t>If there is a negative impact on any equality target groups, can this impact be legally and objectively justified?</w:t>
      </w:r>
    </w:p>
    <w:tbl>
      <w:tblPr>
        <w:tblStyle w:val="TableGrid"/>
        <w:tblW w:w="10196" w:type="dxa"/>
        <w:tblBorders>
          <w:top w:val="single" w:sz="8" w:space="0" w:color="008385"/>
          <w:left w:val="single" w:sz="8" w:space="0" w:color="008385"/>
          <w:bottom w:val="single" w:sz="8" w:space="0" w:color="008385"/>
          <w:right w:val="single" w:sz="8" w:space="0" w:color="008385"/>
          <w:insideH w:val="single" w:sz="48" w:space="0" w:color="FFFFFF" w:themeColor="background1"/>
          <w:insideV w:val="single" w:sz="8" w:space="0" w:color="008385"/>
        </w:tblBorders>
        <w:shd w:val="clear" w:color="auto" w:fill="F0FAFA"/>
        <w:tblLook w:val="04A0" w:firstRow="1" w:lastRow="0" w:firstColumn="1" w:lastColumn="0" w:noHBand="0" w:noVBand="1"/>
      </w:tblPr>
      <w:tblGrid>
        <w:gridCol w:w="1975"/>
        <w:gridCol w:w="8221"/>
      </w:tblGrid>
      <w:tr w:rsidR="00AB2AC6" w:rsidRPr="000876ED" w14:paraId="7F940CB3" w14:textId="77777777" w:rsidTr="00BE34F8">
        <w:trPr>
          <w:trHeight w:val="255"/>
        </w:trPr>
        <w:tc>
          <w:tcPr>
            <w:tcW w:w="1975" w:type="dxa"/>
            <w:shd w:val="clear" w:color="auto" w:fill="F0FAFA"/>
            <w:noWrap/>
            <w:vAlign w:val="center"/>
          </w:tcPr>
          <w:p w14:paraId="4A463F9B" w14:textId="77777777" w:rsidR="00AB2AC6" w:rsidRPr="000876ED" w:rsidRDefault="00AB2AC6" w:rsidP="00BE34F8">
            <w:pPr>
              <w:rPr>
                <w:rFonts w:ascii="TheSans Spire Light" w:hAnsi="TheSans Spire Light" w:cstheme="minorHAnsi"/>
                <w:color w:val="3B3838" w:themeColor="background2" w:themeShade="40"/>
                <w:sz w:val="20"/>
                <w:szCs w:val="20"/>
              </w:rPr>
            </w:pPr>
            <w:r>
              <w:rPr>
                <w:rFonts w:ascii="TheSans Spire Light" w:hAnsi="TheSans Spire Light" w:cstheme="minorHAnsi"/>
                <w:color w:val="3B3838" w:themeColor="background2" w:themeShade="40"/>
                <w:sz w:val="20"/>
                <w:szCs w:val="20"/>
              </w:rPr>
              <w:t>Please detail</w:t>
            </w:r>
          </w:p>
        </w:tc>
        <w:tc>
          <w:tcPr>
            <w:tcW w:w="8221" w:type="dxa"/>
            <w:shd w:val="clear" w:color="auto" w:fill="F0FAFA"/>
            <w:vAlign w:val="center"/>
          </w:tcPr>
          <w:p w14:paraId="0402EEE9" w14:textId="1E8479F9" w:rsidR="00AB2AC6" w:rsidRPr="000876ED" w:rsidRDefault="00372EF9" w:rsidP="00BE34F8">
            <w:pPr>
              <w:ind w:left="94"/>
              <w:rPr>
                <w:rFonts w:ascii="TheSans Spire Light" w:hAnsi="TheSans Spire Light" w:cstheme="minorHAnsi"/>
                <w:color w:val="3B3838" w:themeColor="background2" w:themeShade="40"/>
                <w:sz w:val="20"/>
                <w:szCs w:val="20"/>
              </w:rPr>
            </w:pPr>
            <w:r>
              <w:rPr>
                <w:rFonts w:ascii="TheSans Spire Light" w:hAnsi="TheSans Spire Light" w:cstheme="minorHAnsi"/>
                <w:color w:val="3B3838" w:themeColor="background2" w:themeShade="40"/>
                <w:sz w:val="20"/>
                <w:szCs w:val="20"/>
              </w:rPr>
              <w:t>No</w:t>
            </w:r>
          </w:p>
        </w:tc>
      </w:tr>
    </w:tbl>
    <w:p w14:paraId="6DB827BC" w14:textId="77777777" w:rsidR="00AB2AC6" w:rsidRDefault="00AB2AC6" w:rsidP="00AB2AC6">
      <w:pPr>
        <w:spacing w:after="0"/>
        <w:jc w:val="both"/>
        <w:rPr>
          <w:rFonts w:ascii="TheSans Spire Light" w:hAnsi="TheSans Spire Light"/>
          <w:color w:val="008385"/>
          <w:sz w:val="20"/>
          <w:szCs w:val="20"/>
        </w:rPr>
      </w:pPr>
    </w:p>
    <w:p w14:paraId="4CD9491D" w14:textId="77777777" w:rsidR="00AB2AC6" w:rsidRPr="00345028" w:rsidRDefault="00AB2AC6" w:rsidP="00AB2AC6">
      <w:pPr>
        <w:spacing w:after="0"/>
        <w:ind w:right="543"/>
        <w:jc w:val="both"/>
        <w:rPr>
          <w:rFonts w:ascii="TheSans Spire Light" w:hAnsi="TheSans Spire Light"/>
          <w:color w:val="008385"/>
          <w:sz w:val="20"/>
          <w:szCs w:val="20"/>
        </w:rPr>
      </w:pPr>
      <w:r>
        <w:rPr>
          <w:rFonts w:ascii="TheSans Spire Light" w:hAnsi="TheSans Spire Light"/>
          <w:color w:val="008385"/>
          <w:sz w:val="20"/>
          <w:szCs w:val="20"/>
        </w:rPr>
        <w:t>Does this policy promote equality? Consider, does the policy</w:t>
      </w:r>
      <w:r w:rsidRPr="00345028">
        <w:rPr>
          <w:rFonts w:ascii="TheSans Spire Light" w:hAnsi="TheSans Spire Light"/>
          <w:color w:val="008385"/>
          <w:sz w:val="20"/>
          <w:szCs w:val="20"/>
        </w:rPr>
        <w:t xml:space="preserve"> eliminate unlawful or unjustifiable discrimination, promote e</w:t>
      </w:r>
      <w:r>
        <w:rPr>
          <w:rFonts w:ascii="TheSans Spire Light" w:hAnsi="TheSans Spire Light"/>
          <w:color w:val="008385"/>
          <w:sz w:val="20"/>
          <w:szCs w:val="20"/>
        </w:rPr>
        <w:t>quality of opportunity, promote</w:t>
      </w:r>
      <w:r w:rsidRPr="00345028">
        <w:rPr>
          <w:rFonts w:ascii="TheSans Spire Light" w:hAnsi="TheSans Spire Light"/>
          <w:color w:val="008385"/>
          <w:sz w:val="20"/>
          <w:szCs w:val="20"/>
        </w:rPr>
        <w:t xml:space="preserve"> positive attitudes, eliminate harassment and bullying or victimisation, promotes inclusion and participation an</w:t>
      </w:r>
      <w:r>
        <w:rPr>
          <w:rFonts w:ascii="TheSans Spire Light" w:hAnsi="TheSans Spire Light"/>
          <w:color w:val="008385"/>
          <w:sz w:val="20"/>
          <w:szCs w:val="20"/>
        </w:rPr>
        <w:t>d eliminate health inequalities for both colleagues and patients?</w:t>
      </w:r>
    </w:p>
    <w:tbl>
      <w:tblPr>
        <w:tblStyle w:val="TableGrid"/>
        <w:tblW w:w="10196" w:type="dxa"/>
        <w:tblBorders>
          <w:top w:val="single" w:sz="8" w:space="0" w:color="008385"/>
          <w:left w:val="single" w:sz="8" w:space="0" w:color="008385"/>
          <w:bottom w:val="single" w:sz="8" w:space="0" w:color="008385"/>
          <w:right w:val="single" w:sz="8" w:space="0" w:color="008385"/>
          <w:insideH w:val="single" w:sz="48" w:space="0" w:color="FFFFFF" w:themeColor="background1"/>
          <w:insideV w:val="single" w:sz="8" w:space="0" w:color="008385"/>
        </w:tblBorders>
        <w:shd w:val="clear" w:color="auto" w:fill="F0FAFA"/>
        <w:tblLook w:val="04A0" w:firstRow="1" w:lastRow="0" w:firstColumn="1" w:lastColumn="0" w:noHBand="0" w:noVBand="1"/>
      </w:tblPr>
      <w:tblGrid>
        <w:gridCol w:w="1975"/>
        <w:gridCol w:w="8221"/>
      </w:tblGrid>
      <w:tr w:rsidR="00AB2AC6" w:rsidRPr="000876ED" w14:paraId="36523410" w14:textId="77777777" w:rsidTr="00BE34F8">
        <w:trPr>
          <w:trHeight w:val="255"/>
        </w:trPr>
        <w:tc>
          <w:tcPr>
            <w:tcW w:w="1975" w:type="dxa"/>
            <w:shd w:val="clear" w:color="auto" w:fill="F0FAFA"/>
            <w:noWrap/>
            <w:vAlign w:val="center"/>
          </w:tcPr>
          <w:p w14:paraId="46D6B414" w14:textId="77777777" w:rsidR="00AB2AC6" w:rsidRPr="000876ED" w:rsidRDefault="00AB2AC6" w:rsidP="00BE34F8">
            <w:pPr>
              <w:rPr>
                <w:rFonts w:ascii="TheSans Spire Light" w:hAnsi="TheSans Spire Light" w:cstheme="minorHAnsi"/>
                <w:color w:val="3B3838" w:themeColor="background2" w:themeShade="40"/>
                <w:sz w:val="20"/>
                <w:szCs w:val="20"/>
              </w:rPr>
            </w:pPr>
            <w:r>
              <w:rPr>
                <w:rFonts w:ascii="TheSans Spire Light" w:hAnsi="TheSans Spire Light" w:cstheme="minorHAnsi"/>
                <w:color w:val="3B3838" w:themeColor="background2" w:themeShade="40"/>
                <w:sz w:val="20"/>
                <w:szCs w:val="20"/>
              </w:rPr>
              <w:t>Please detail</w:t>
            </w:r>
          </w:p>
        </w:tc>
        <w:tc>
          <w:tcPr>
            <w:tcW w:w="8221" w:type="dxa"/>
            <w:shd w:val="clear" w:color="auto" w:fill="F0FAFA"/>
            <w:vAlign w:val="center"/>
          </w:tcPr>
          <w:p w14:paraId="35C7353D" w14:textId="2F2302D5" w:rsidR="00AB2AC6" w:rsidRPr="000876ED" w:rsidRDefault="00372EF9" w:rsidP="00BE34F8">
            <w:pPr>
              <w:ind w:left="94"/>
              <w:rPr>
                <w:rFonts w:ascii="TheSans Spire Light" w:hAnsi="TheSans Spire Light" w:cstheme="minorHAnsi"/>
                <w:color w:val="3B3838" w:themeColor="background2" w:themeShade="40"/>
                <w:sz w:val="20"/>
                <w:szCs w:val="20"/>
              </w:rPr>
            </w:pPr>
            <w:r>
              <w:rPr>
                <w:rFonts w:ascii="TheSans Spire Light" w:hAnsi="TheSans Spire Light" w:cstheme="minorHAnsi"/>
                <w:color w:val="3B3838" w:themeColor="background2" w:themeShade="40"/>
                <w:sz w:val="20"/>
                <w:szCs w:val="20"/>
              </w:rPr>
              <w:t xml:space="preserve">Yes – See section </w:t>
            </w:r>
            <w:r w:rsidRPr="00372EF9">
              <w:rPr>
                <w:rFonts w:ascii="TheSans Spire Light" w:hAnsi="TheSans Spire Light" w:cstheme="minorHAnsi"/>
                <w:color w:val="3B3838" w:themeColor="background2" w:themeShade="40"/>
                <w:sz w:val="20"/>
                <w:szCs w:val="20"/>
              </w:rPr>
              <w:t>5.0</w:t>
            </w:r>
            <w:r>
              <w:rPr>
                <w:rFonts w:ascii="TheSans Spire Light" w:hAnsi="TheSans Spire Light" w:cstheme="minorHAnsi"/>
                <w:color w:val="3B3838" w:themeColor="background2" w:themeShade="40"/>
                <w:sz w:val="20"/>
                <w:szCs w:val="20"/>
              </w:rPr>
              <w:t xml:space="preserve"> </w:t>
            </w:r>
            <w:r w:rsidRPr="00372EF9">
              <w:rPr>
                <w:rFonts w:ascii="TheSans Spire Light" w:hAnsi="TheSans Spire Light" w:cstheme="minorHAnsi"/>
                <w:color w:val="3B3838" w:themeColor="background2" w:themeShade="40"/>
                <w:sz w:val="20"/>
                <w:szCs w:val="20"/>
              </w:rPr>
              <w:t>ADDRESSING HEALTH INEQUALITIES</w:t>
            </w:r>
          </w:p>
        </w:tc>
      </w:tr>
    </w:tbl>
    <w:p w14:paraId="0AA4078F" w14:textId="77777777" w:rsidR="00AB2AC6" w:rsidRDefault="00AB2AC6" w:rsidP="00AB2AC6">
      <w:pPr>
        <w:spacing w:after="0"/>
        <w:rPr>
          <w:rFonts w:ascii="TheSans Spire Light" w:hAnsi="TheSans Spire Light"/>
        </w:rPr>
      </w:pPr>
    </w:p>
    <w:p w14:paraId="51C29FD6" w14:textId="77777777" w:rsidR="00AB2AC6" w:rsidRPr="00345028" w:rsidRDefault="00AB2AC6" w:rsidP="00AB2AC6">
      <w:pPr>
        <w:spacing w:after="0"/>
        <w:rPr>
          <w:rFonts w:ascii="TheSans Spire Light" w:hAnsi="TheSans Spire Light"/>
          <w:color w:val="008385"/>
          <w:sz w:val="20"/>
          <w:szCs w:val="20"/>
        </w:rPr>
      </w:pPr>
      <w:r w:rsidRPr="00345028">
        <w:rPr>
          <w:rFonts w:ascii="TheSans Spire Light" w:hAnsi="TheSans Spire Light"/>
          <w:color w:val="008385"/>
          <w:sz w:val="20"/>
          <w:szCs w:val="20"/>
        </w:rPr>
        <w:t xml:space="preserve">If there is no evidence that the policy promotes equality, what changes, if any, </w:t>
      </w:r>
      <w:r>
        <w:rPr>
          <w:rFonts w:ascii="TheSans Spire Light" w:hAnsi="TheSans Spire Light"/>
          <w:color w:val="008385"/>
          <w:sz w:val="20"/>
          <w:szCs w:val="20"/>
        </w:rPr>
        <w:t>could be made to achieve this?</w:t>
      </w:r>
    </w:p>
    <w:tbl>
      <w:tblPr>
        <w:tblStyle w:val="TableGrid"/>
        <w:tblW w:w="10196" w:type="dxa"/>
        <w:tblBorders>
          <w:top w:val="single" w:sz="8" w:space="0" w:color="008385"/>
          <w:left w:val="single" w:sz="8" w:space="0" w:color="008385"/>
          <w:bottom w:val="single" w:sz="8" w:space="0" w:color="008385"/>
          <w:right w:val="single" w:sz="8" w:space="0" w:color="008385"/>
          <w:insideH w:val="single" w:sz="48" w:space="0" w:color="FFFFFF" w:themeColor="background1"/>
          <w:insideV w:val="single" w:sz="8" w:space="0" w:color="008385"/>
        </w:tblBorders>
        <w:shd w:val="clear" w:color="auto" w:fill="F0FAFA"/>
        <w:tblLook w:val="04A0" w:firstRow="1" w:lastRow="0" w:firstColumn="1" w:lastColumn="0" w:noHBand="0" w:noVBand="1"/>
      </w:tblPr>
      <w:tblGrid>
        <w:gridCol w:w="1975"/>
        <w:gridCol w:w="8221"/>
      </w:tblGrid>
      <w:tr w:rsidR="00AB2AC6" w:rsidRPr="000876ED" w14:paraId="15721FAB" w14:textId="77777777" w:rsidTr="00BE34F8">
        <w:trPr>
          <w:trHeight w:val="255"/>
        </w:trPr>
        <w:tc>
          <w:tcPr>
            <w:tcW w:w="1975" w:type="dxa"/>
            <w:shd w:val="clear" w:color="auto" w:fill="F0FAFA"/>
            <w:noWrap/>
            <w:vAlign w:val="center"/>
          </w:tcPr>
          <w:p w14:paraId="327AB8FF" w14:textId="77777777" w:rsidR="00AB2AC6" w:rsidRPr="000876ED" w:rsidRDefault="00AB2AC6" w:rsidP="00BE34F8">
            <w:pPr>
              <w:rPr>
                <w:rFonts w:ascii="TheSans Spire Light" w:hAnsi="TheSans Spire Light" w:cstheme="minorHAnsi"/>
                <w:color w:val="3B3838" w:themeColor="background2" w:themeShade="40"/>
                <w:sz w:val="20"/>
                <w:szCs w:val="20"/>
              </w:rPr>
            </w:pPr>
            <w:r>
              <w:rPr>
                <w:rFonts w:ascii="TheSans Spire Light" w:hAnsi="TheSans Spire Light" w:cstheme="minorHAnsi"/>
                <w:color w:val="3B3838" w:themeColor="background2" w:themeShade="40"/>
                <w:sz w:val="20"/>
                <w:szCs w:val="20"/>
              </w:rPr>
              <w:t>Please detail</w:t>
            </w:r>
          </w:p>
        </w:tc>
        <w:tc>
          <w:tcPr>
            <w:tcW w:w="8221" w:type="dxa"/>
            <w:shd w:val="clear" w:color="auto" w:fill="F0FAFA"/>
            <w:vAlign w:val="center"/>
          </w:tcPr>
          <w:p w14:paraId="2917E9D4" w14:textId="0567B128" w:rsidR="00AB2AC6" w:rsidRPr="000876ED" w:rsidRDefault="00372EF9" w:rsidP="00BE34F8">
            <w:pPr>
              <w:ind w:left="94"/>
              <w:rPr>
                <w:rFonts w:ascii="TheSans Spire Light" w:hAnsi="TheSans Spire Light" w:cstheme="minorHAnsi"/>
                <w:color w:val="3B3838" w:themeColor="background2" w:themeShade="40"/>
                <w:sz w:val="20"/>
                <w:szCs w:val="20"/>
              </w:rPr>
            </w:pPr>
            <w:r>
              <w:rPr>
                <w:rFonts w:ascii="TheSans Spire Light" w:hAnsi="TheSans Spire Light" w:cstheme="minorHAnsi"/>
                <w:color w:val="3B3838" w:themeColor="background2" w:themeShade="40"/>
                <w:sz w:val="20"/>
                <w:szCs w:val="20"/>
              </w:rPr>
              <w:t>N/A</w:t>
            </w:r>
          </w:p>
        </w:tc>
      </w:tr>
    </w:tbl>
    <w:p w14:paraId="563598B2" w14:textId="77777777" w:rsidR="00AB2AC6" w:rsidRDefault="00AB2AC6" w:rsidP="00AB2AC6">
      <w:pPr>
        <w:spacing w:after="0"/>
        <w:rPr>
          <w:rFonts w:ascii="TheSans Spire Light" w:hAnsi="TheSans Spire Light"/>
        </w:rPr>
      </w:pPr>
    </w:p>
    <w:p w14:paraId="612FB9A2" w14:textId="77777777" w:rsidR="00AB2AC6" w:rsidRDefault="00AB2AC6" w:rsidP="00AB2AC6">
      <w:pPr>
        <w:spacing w:after="0"/>
        <w:rPr>
          <w:rFonts w:ascii="TheSans Spire Light" w:hAnsi="TheSans Spire Light"/>
          <w:b/>
          <w:color w:val="008385"/>
        </w:rPr>
      </w:pPr>
    </w:p>
    <w:p w14:paraId="7EF154F0" w14:textId="77777777" w:rsidR="00AB2AC6" w:rsidRDefault="00AB2AC6" w:rsidP="00AB2AC6">
      <w:pPr>
        <w:spacing w:after="0"/>
        <w:rPr>
          <w:rFonts w:ascii="TheSans Spire Light" w:hAnsi="TheSans Spire Light"/>
          <w:b/>
          <w:color w:val="008385"/>
        </w:rPr>
      </w:pPr>
    </w:p>
    <w:p w14:paraId="0B547A45" w14:textId="77777777" w:rsidR="00AB2AC6" w:rsidRPr="00A220A9" w:rsidRDefault="00AB2AC6" w:rsidP="00AB2AC6">
      <w:pPr>
        <w:spacing w:after="0"/>
        <w:rPr>
          <w:rFonts w:ascii="TheSans Spire Light" w:hAnsi="TheSans Spire Light"/>
          <w:b/>
          <w:color w:val="008385"/>
        </w:rPr>
      </w:pPr>
      <w:r>
        <w:rPr>
          <w:rFonts w:ascii="TheSans Spire Light" w:hAnsi="TheSans Spire Light"/>
          <w:b/>
          <w:color w:val="008385"/>
        </w:rPr>
        <w:t xml:space="preserve">Author </w:t>
      </w:r>
      <w:r w:rsidRPr="00A220A9">
        <w:rPr>
          <w:rFonts w:ascii="TheSans Spire Light" w:hAnsi="TheSans Spire Light"/>
          <w:b/>
          <w:color w:val="008385"/>
        </w:rPr>
        <w:t>Declaration</w:t>
      </w:r>
    </w:p>
    <w:p w14:paraId="42E35EF1" w14:textId="77777777" w:rsidR="00AB2AC6" w:rsidRDefault="00AB2AC6" w:rsidP="00AB2AC6">
      <w:pPr>
        <w:spacing w:after="0"/>
        <w:rPr>
          <w:rFonts w:ascii="TheSans Spire Light" w:hAnsi="TheSans Spire Light"/>
        </w:rPr>
      </w:pPr>
    </w:p>
    <w:p w14:paraId="27BE0E08" w14:textId="77777777" w:rsidR="00AB2AC6" w:rsidRDefault="00AB2AC6" w:rsidP="00AB2AC6">
      <w:pPr>
        <w:spacing w:after="0"/>
        <w:rPr>
          <w:rFonts w:ascii="TheSans Spire Light" w:hAnsi="TheSans Spire Light"/>
        </w:rPr>
      </w:pPr>
      <w:r>
        <w:rPr>
          <w:rFonts w:ascii="TheSans Spire Light" w:hAnsi="TheSans Spire Light"/>
        </w:rPr>
        <w:t>Please confirm you have thoroughly assessed the policy / document against the above criteria</w:t>
      </w:r>
    </w:p>
    <w:p w14:paraId="412D1183" w14:textId="77777777" w:rsidR="00AB2AC6" w:rsidRDefault="00AB2AC6" w:rsidP="00AB2AC6">
      <w:pPr>
        <w:spacing w:after="0"/>
        <w:rPr>
          <w:rFonts w:ascii="TheSans Spire Light" w:hAnsi="TheSans Spire Light"/>
        </w:rPr>
      </w:pPr>
    </w:p>
    <w:tbl>
      <w:tblPr>
        <w:tblStyle w:val="TableGrid"/>
        <w:tblW w:w="10196" w:type="dxa"/>
        <w:tblBorders>
          <w:top w:val="single" w:sz="8" w:space="0" w:color="008385"/>
          <w:left w:val="single" w:sz="8" w:space="0" w:color="008385"/>
          <w:bottom w:val="single" w:sz="8" w:space="0" w:color="008385"/>
          <w:right w:val="single" w:sz="8" w:space="0" w:color="008385"/>
          <w:insideH w:val="single" w:sz="48" w:space="0" w:color="FFFFFF" w:themeColor="background1"/>
          <w:insideV w:val="single" w:sz="8" w:space="0" w:color="008385"/>
        </w:tblBorders>
        <w:shd w:val="clear" w:color="auto" w:fill="F0FAFA"/>
        <w:tblLook w:val="04A0" w:firstRow="1" w:lastRow="0" w:firstColumn="1" w:lastColumn="0" w:noHBand="0" w:noVBand="1"/>
      </w:tblPr>
      <w:tblGrid>
        <w:gridCol w:w="1975"/>
        <w:gridCol w:w="8221"/>
      </w:tblGrid>
      <w:tr w:rsidR="00AB2AC6" w:rsidRPr="000876ED" w14:paraId="001112C6" w14:textId="77777777" w:rsidTr="00BE34F8">
        <w:trPr>
          <w:trHeight w:val="255"/>
        </w:trPr>
        <w:tc>
          <w:tcPr>
            <w:tcW w:w="1975" w:type="dxa"/>
            <w:shd w:val="clear" w:color="auto" w:fill="F0FAFA"/>
            <w:noWrap/>
            <w:vAlign w:val="center"/>
          </w:tcPr>
          <w:p w14:paraId="7905A8CD" w14:textId="77777777" w:rsidR="00AB2AC6" w:rsidRPr="00A41BF6" w:rsidRDefault="00AB2AC6" w:rsidP="00BE34F8">
            <w:pPr>
              <w:rPr>
                <w:rFonts w:ascii="TheSans Spire Light" w:hAnsi="TheSans Spire Light" w:cstheme="minorHAnsi"/>
                <w:b/>
                <w:color w:val="3B3838" w:themeColor="background2" w:themeShade="40"/>
                <w:sz w:val="20"/>
                <w:szCs w:val="20"/>
              </w:rPr>
            </w:pPr>
            <w:r w:rsidRPr="00A41BF6">
              <w:rPr>
                <w:rFonts w:ascii="TheSans Spire Light" w:hAnsi="TheSans Spire Light" w:cstheme="minorHAnsi"/>
                <w:b/>
                <w:color w:val="3B3838" w:themeColor="background2" w:themeShade="40"/>
                <w:sz w:val="20"/>
                <w:szCs w:val="20"/>
              </w:rPr>
              <w:t>Signed</w:t>
            </w:r>
          </w:p>
        </w:tc>
        <w:tc>
          <w:tcPr>
            <w:tcW w:w="8221" w:type="dxa"/>
            <w:shd w:val="clear" w:color="auto" w:fill="F0FAFA"/>
            <w:vAlign w:val="center"/>
          </w:tcPr>
          <w:p w14:paraId="6929B4FC" w14:textId="1A39CB80" w:rsidR="00AB2AC6" w:rsidRPr="000876ED" w:rsidRDefault="00372EF9" w:rsidP="00BE34F8">
            <w:pPr>
              <w:ind w:left="94"/>
              <w:rPr>
                <w:rFonts w:ascii="TheSans Spire Light" w:hAnsi="TheSans Spire Light" w:cstheme="minorHAnsi"/>
                <w:color w:val="3B3838" w:themeColor="background2" w:themeShade="40"/>
                <w:sz w:val="20"/>
                <w:szCs w:val="20"/>
              </w:rPr>
            </w:pPr>
            <w:r>
              <w:rPr>
                <w:rFonts w:ascii="TheSans Spire Light" w:hAnsi="TheSans Spire Light" w:cstheme="minorHAnsi"/>
                <w:color w:val="3B3838" w:themeColor="background2" w:themeShade="40"/>
                <w:sz w:val="20"/>
                <w:szCs w:val="20"/>
              </w:rPr>
              <w:t>Matthew Minter</w:t>
            </w:r>
          </w:p>
        </w:tc>
      </w:tr>
    </w:tbl>
    <w:p w14:paraId="2A09E6A2" w14:textId="77777777" w:rsidR="00AB2AC6" w:rsidRDefault="00AB2AC6" w:rsidP="00AB2AC6">
      <w:pPr>
        <w:spacing w:after="0"/>
        <w:rPr>
          <w:rFonts w:ascii="TheSans Spire Light" w:hAnsi="TheSans Spire Light"/>
        </w:rPr>
      </w:pPr>
    </w:p>
    <w:p w14:paraId="58E1B13D" w14:textId="77777777" w:rsidR="00AB2AC6" w:rsidRDefault="00AB2AC6" w:rsidP="00AB2AC6">
      <w:pPr>
        <w:spacing w:after="0"/>
        <w:rPr>
          <w:rFonts w:ascii="TheSans Spire Light" w:hAnsi="TheSans Spire Light"/>
        </w:rPr>
      </w:pPr>
    </w:p>
    <w:p w14:paraId="65595736" w14:textId="77777777" w:rsidR="00AB2AC6" w:rsidRDefault="00AB2AC6" w:rsidP="00AB2AC6">
      <w:pPr>
        <w:rPr>
          <w:rFonts w:ascii="TheSans Spire Light" w:hAnsi="TheSans Spire Light"/>
        </w:rPr>
        <w:sectPr w:rsidR="00AB2AC6" w:rsidSect="00B16B2F">
          <w:pgSz w:w="11906" w:h="16838"/>
          <w:pgMar w:top="720" w:right="720" w:bottom="720" w:left="720" w:header="708" w:footer="708" w:gutter="0"/>
          <w:cols w:space="708"/>
          <w:docGrid w:linePitch="360"/>
        </w:sectPr>
      </w:pPr>
    </w:p>
    <w:p w14:paraId="2F739B98" w14:textId="77777777" w:rsidR="00AB2AC6" w:rsidRPr="00B10946" w:rsidRDefault="00AB2AC6" w:rsidP="00AB2AC6">
      <w:pPr>
        <w:spacing w:after="0"/>
        <w:jc w:val="both"/>
        <w:rPr>
          <w:rFonts w:ascii="TheSans Spire Light" w:hAnsi="TheSans Spire Light"/>
          <w:b/>
          <w:color w:val="008385"/>
          <w:sz w:val="36"/>
          <w:szCs w:val="36"/>
        </w:rPr>
      </w:pPr>
      <w:r w:rsidRPr="00B10946">
        <w:rPr>
          <w:rFonts w:ascii="TheSans Spire Light" w:hAnsi="TheSans Spire Light"/>
          <w:b/>
          <w:color w:val="008385"/>
          <w:sz w:val="36"/>
          <w:szCs w:val="36"/>
        </w:rPr>
        <w:lastRenderedPageBreak/>
        <w:t xml:space="preserve">Policy </w:t>
      </w:r>
      <w:r>
        <w:rPr>
          <w:rFonts w:ascii="TheSans Spire Light" w:hAnsi="TheSans Spire Light"/>
          <w:b/>
          <w:color w:val="008385"/>
          <w:sz w:val="36"/>
          <w:szCs w:val="36"/>
        </w:rPr>
        <w:t xml:space="preserve">/ Document </w:t>
      </w:r>
      <w:r w:rsidRPr="00B10946">
        <w:rPr>
          <w:rFonts w:ascii="TheSans Spire Light" w:hAnsi="TheSans Spire Light"/>
          <w:b/>
          <w:color w:val="008385"/>
          <w:sz w:val="36"/>
          <w:szCs w:val="36"/>
        </w:rPr>
        <w:t>Guide</w:t>
      </w:r>
      <w:r>
        <w:rPr>
          <w:rFonts w:ascii="TheSans Spire Light" w:hAnsi="TheSans Spire Light"/>
          <w:b/>
          <w:color w:val="008385"/>
          <w:sz w:val="36"/>
          <w:szCs w:val="36"/>
        </w:rPr>
        <w:t xml:space="preserve"> </w:t>
      </w:r>
      <w:r w:rsidRPr="009616C7">
        <w:rPr>
          <w:rFonts w:ascii="TheSans Spire Light" w:hAnsi="TheSans Spire Light"/>
          <w:sz w:val="24"/>
          <w:szCs w:val="24"/>
        </w:rPr>
        <w:t>(for reference only)</w:t>
      </w:r>
    </w:p>
    <w:p w14:paraId="0124DC0E" w14:textId="77777777" w:rsidR="00AB2AC6" w:rsidRDefault="00AB2AC6" w:rsidP="00AB2AC6">
      <w:pPr>
        <w:spacing w:after="0"/>
        <w:jc w:val="both"/>
        <w:rPr>
          <w:rFonts w:ascii="TheSans Spire Light" w:hAnsi="TheSans Spire Light"/>
        </w:rPr>
      </w:pPr>
    </w:p>
    <w:p w14:paraId="7E1AC3A6" w14:textId="77777777" w:rsidR="00AB2AC6" w:rsidRPr="00405A90" w:rsidRDefault="00AB2AC6" w:rsidP="00AB2AC6">
      <w:pPr>
        <w:spacing w:after="0"/>
        <w:jc w:val="both"/>
        <w:rPr>
          <w:rFonts w:ascii="TheSans Spire Light" w:hAnsi="TheSans Spire Light"/>
          <w:sz w:val="20"/>
          <w:szCs w:val="20"/>
        </w:rPr>
      </w:pPr>
      <w:r w:rsidRPr="00405A90">
        <w:rPr>
          <w:rFonts w:ascii="TheSans Spire Light" w:hAnsi="TheSans Spire Light"/>
          <w:sz w:val="20"/>
          <w:szCs w:val="20"/>
        </w:rPr>
        <w:t>All policies and appendices (new and updated) should be approved at the Policy Approval Committee (PAC). The committee meets each month and final papers should be sent for consideration no later than 10 days prior to the next meeting. For example if the meeting is taking place on the 24</w:t>
      </w:r>
      <w:r w:rsidRPr="00405A90">
        <w:rPr>
          <w:rFonts w:ascii="TheSans Spire Light" w:hAnsi="TheSans Spire Light"/>
          <w:sz w:val="20"/>
          <w:szCs w:val="20"/>
          <w:vertAlign w:val="superscript"/>
        </w:rPr>
        <w:t>th</w:t>
      </w:r>
      <w:r w:rsidRPr="00405A90">
        <w:rPr>
          <w:rFonts w:ascii="TheSans Spire Light" w:hAnsi="TheSans Spire Light"/>
          <w:sz w:val="20"/>
          <w:szCs w:val="20"/>
        </w:rPr>
        <w:t xml:space="preserve"> of the month the last date for papers will be the 14</w:t>
      </w:r>
      <w:r w:rsidRPr="00405A90">
        <w:rPr>
          <w:rFonts w:ascii="TheSans Spire Light" w:hAnsi="TheSans Spire Light"/>
          <w:sz w:val="20"/>
          <w:szCs w:val="20"/>
          <w:vertAlign w:val="superscript"/>
        </w:rPr>
        <w:t>th</w:t>
      </w:r>
      <w:r w:rsidRPr="00405A90">
        <w:rPr>
          <w:rFonts w:ascii="TheSans Spire Light" w:hAnsi="TheSans Spire Light"/>
          <w:sz w:val="20"/>
          <w:szCs w:val="20"/>
        </w:rPr>
        <w:t xml:space="preserve">. Dates of meetings and final dates for papers can be found at: </w:t>
      </w:r>
      <w:hyperlink r:id="rId44" w:history="1">
        <w:r w:rsidRPr="00405A90">
          <w:rPr>
            <w:rStyle w:val="Hyperlink"/>
            <w:rFonts w:ascii="TheSans Spire Light" w:hAnsi="TheSans Spire Light"/>
            <w:sz w:val="20"/>
            <w:szCs w:val="20"/>
          </w:rPr>
          <w:t>https://intranet.spirehealthcare.net/integrated-quality-governance/policy-management/</w:t>
        </w:r>
      </w:hyperlink>
    </w:p>
    <w:p w14:paraId="63D0AAD8" w14:textId="77777777" w:rsidR="00AB2AC6" w:rsidRPr="00405A90" w:rsidRDefault="00AB2AC6" w:rsidP="00AB2AC6">
      <w:pPr>
        <w:spacing w:after="0"/>
        <w:jc w:val="both"/>
        <w:rPr>
          <w:rFonts w:ascii="TheSans Spire Light" w:hAnsi="TheSans Spire Light"/>
          <w:sz w:val="20"/>
          <w:szCs w:val="20"/>
        </w:rPr>
      </w:pPr>
    </w:p>
    <w:p w14:paraId="5737094B" w14:textId="77777777" w:rsidR="00AB2AC6" w:rsidRPr="00405A90" w:rsidRDefault="00AB2AC6" w:rsidP="00AB2AC6">
      <w:pPr>
        <w:spacing w:after="0"/>
        <w:jc w:val="both"/>
        <w:rPr>
          <w:rFonts w:ascii="TheSans Spire Light" w:hAnsi="TheSans Spire Light"/>
          <w:color w:val="008385"/>
          <w:sz w:val="24"/>
          <w:szCs w:val="24"/>
        </w:rPr>
      </w:pPr>
      <w:r w:rsidRPr="00405A90">
        <w:rPr>
          <w:rFonts w:ascii="TheSans Spire Light" w:hAnsi="TheSans Spire Light"/>
          <w:color w:val="008385"/>
          <w:sz w:val="24"/>
          <w:szCs w:val="24"/>
        </w:rPr>
        <w:t>CHECKLIST</w:t>
      </w:r>
    </w:p>
    <w:p w14:paraId="756C6081" w14:textId="77777777" w:rsidR="00AB2AC6" w:rsidRPr="00405A90" w:rsidRDefault="00AB2AC6" w:rsidP="00AB2AC6">
      <w:pPr>
        <w:spacing w:after="0"/>
        <w:jc w:val="both"/>
        <w:rPr>
          <w:rFonts w:ascii="TheSans Spire Light" w:hAnsi="TheSans Spire Light"/>
          <w:sz w:val="20"/>
          <w:szCs w:val="20"/>
        </w:rPr>
      </w:pPr>
    </w:p>
    <w:p w14:paraId="59BF2208" w14:textId="6CE19526" w:rsidR="00AB2AC6" w:rsidRPr="00405A90" w:rsidRDefault="0034538A" w:rsidP="00AB2AC6">
      <w:pPr>
        <w:spacing w:after="0"/>
        <w:jc w:val="both"/>
        <w:rPr>
          <w:rFonts w:ascii="TheSans Spire Light" w:hAnsi="TheSans Spire Light"/>
          <w:sz w:val="20"/>
          <w:szCs w:val="20"/>
        </w:rPr>
      </w:pPr>
      <w:sdt>
        <w:sdtPr>
          <w:rPr>
            <w:rFonts w:ascii="TheSans Spire Light" w:hAnsi="TheSans Spire Light"/>
            <w:sz w:val="20"/>
            <w:szCs w:val="20"/>
          </w:rPr>
          <w:id w:val="-957950139"/>
          <w14:checkbox>
            <w14:checked w14:val="1"/>
            <w14:checkedState w14:val="2612" w14:font="MS Gothic"/>
            <w14:uncheckedState w14:val="2610" w14:font="MS Gothic"/>
          </w14:checkbox>
        </w:sdtPr>
        <w:sdtEndPr/>
        <w:sdtContent>
          <w:r w:rsidR="00372EF9">
            <w:rPr>
              <w:rFonts w:ascii="MS Gothic" w:eastAsia="MS Gothic" w:hAnsi="MS Gothic" w:hint="eastAsia"/>
              <w:sz w:val="20"/>
              <w:szCs w:val="20"/>
            </w:rPr>
            <w:t>☒</w:t>
          </w:r>
        </w:sdtContent>
      </w:sdt>
      <w:r w:rsidR="00AB2AC6" w:rsidRPr="00405A90">
        <w:rPr>
          <w:rFonts w:ascii="TheSans Spire Light" w:hAnsi="TheSans Spire Light"/>
          <w:sz w:val="20"/>
          <w:szCs w:val="20"/>
        </w:rPr>
        <w:t xml:space="preserve">    Consultation</w:t>
      </w:r>
      <w:r w:rsidR="00AB2AC6">
        <w:rPr>
          <w:rFonts w:ascii="TheSans Spire Light" w:hAnsi="TheSans Spire Light"/>
          <w:sz w:val="20"/>
          <w:szCs w:val="20"/>
        </w:rPr>
        <w:t xml:space="preserve"> has </w:t>
      </w:r>
      <w:r w:rsidR="00AB2AC6" w:rsidRPr="00405A90">
        <w:rPr>
          <w:rFonts w:ascii="TheSans Spire Light" w:hAnsi="TheSans Spire Light"/>
          <w:sz w:val="20"/>
          <w:szCs w:val="20"/>
        </w:rPr>
        <w:t>take</w:t>
      </w:r>
      <w:r w:rsidR="00AB2AC6">
        <w:rPr>
          <w:rFonts w:ascii="TheSans Spire Light" w:hAnsi="TheSans Spire Light"/>
          <w:sz w:val="20"/>
          <w:szCs w:val="20"/>
        </w:rPr>
        <w:t>n</w:t>
      </w:r>
      <w:r w:rsidR="00AB2AC6" w:rsidRPr="00405A90">
        <w:rPr>
          <w:rFonts w:ascii="TheSans Spire Light" w:hAnsi="TheSans Spire Light"/>
          <w:sz w:val="20"/>
          <w:szCs w:val="20"/>
        </w:rPr>
        <w:t xml:space="preserve"> place prior to final papers being submitted. Details of who to consult with can also be found on the above link. </w:t>
      </w:r>
    </w:p>
    <w:p w14:paraId="14897FC6" w14:textId="77777777" w:rsidR="00AB2AC6" w:rsidRPr="00405A90" w:rsidRDefault="00AB2AC6" w:rsidP="00AB2AC6">
      <w:pPr>
        <w:spacing w:after="0"/>
        <w:jc w:val="both"/>
        <w:rPr>
          <w:rFonts w:ascii="TheSans Spire Light" w:hAnsi="TheSans Spire Light"/>
          <w:sz w:val="20"/>
          <w:szCs w:val="20"/>
        </w:rPr>
      </w:pPr>
    </w:p>
    <w:p w14:paraId="79F793DC" w14:textId="669A1121" w:rsidR="00AB2AC6" w:rsidRPr="00405A90" w:rsidRDefault="0034538A" w:rsidP="00AB2AC6">
      <w:pPr>
        <w:spacing w:after="0"/>
        <w:jc w:val="both"/>
        <w:rPr>
          <w:rFonts w:ascii="TheSans Spire Light" w:hAnsi="TheSans Spire Light"/>
          <w:sz w:val="20"/>
          <w:szCs w:val="20"/>
        </w:rPr>
      </w:pPr>
      <w:sdt>
        <w:sdtPr>
          <w:rPr>
            <w:rFonts w:ascii="TheSans Spire Light" w:hAnsi="TheSans Spire Light"/>
            <w:sz w:val="20"/>
            <w:szCs w:val="20"/>
          </w:rPr>
          <w:id w:val="-610439740"/>
          <w14:checkbox>
            <w14:checked w14:val="1"/>
            <w14:checkedState w14:val="2612" w14:font="MS Gothic"/>
            <w14:uncheckedState w14:val="2610" w14:font="MS Gothic"/>
          </w14:checkbox>
        </w:sdtPr>
        <w:sdtEndPr/>
        <w:sdtContent>
          <w:r w:rsidR="00372EF9">
            <w:rPr>
              <w:rFonts w:ascii="MS Gothic" w:eastAsia="MS Gothic" w:hAnsi="MS Gothic" w:hint="eastAsia"/>
              <w:sz w:val="20"/>
              <w:szCs w:val="20"/>
            </w:rPr>
            <w:t>☒</w:t>
          </w:r>
        </w:sdtContent>
      </w:sdt>
      <w:r w:rsidR="00AB2AC6">
        <w:rPr>
          <w:rFonts w:ascii="TheSans Spire Light" w:hAnsi="TheSans Spire Light"/>
          <w:sz w:val="20"/>
          <w:szCs w:val="20"/>
        </w:rPr>
        <w:t xml:space="preserve">    I can confirm that the legal team have been consulted on this policy prior to the final copy being submitted to PAC.</w:t>
      </w:r>
    </w:p>
    <w:p w14:paraId="29F06352" w14:textId="77777777" w:rsidR="00AB2AC6" w:rsidRPr="00405A90" w:rsidRDefault="00AB2AC6" w:rsidP="00AB2AC6">
      <w:pPr>
        <w:spacing w:after="0"/>
        <w:jc w:val="both"/>
        <w:rPr>
          <w:rFonts w:ascii="TheSans Spire Light" w:hAnsi="TheSans Spire Light"/>
          <w:sz w:val="20"/>
          <w:szCs w:val="20"/>
        </w:rPr>
      </w:pPr>
    </w:p>
    <w:p w14:paraId="061F1922" w14:textId="14772A17" w:rsidR="00AB2AC6" w:rsidRPr="00405A90" w:rsidRDefault="0034538A" w:rsidP="00AB2AC6">
      <w:pPr>
        <w:spacing w:after="0"/>
        <w:rPr>
          <w:rFonts w:ascii="TheSans Spire Light" w:hAnsi="TheSans Spire Light"/>
          <w:sz w:val="20"/>
          <w:szCs w:val="20"/>
        </w:rPr>
      </w:pPr>
      <w:sdt>
        <w:sdtPr>
          <w:rPr>
            <w:rFonts w:ascii="TheSans Spire Light" w:hAnsi="TheSans Spire Light"/>
            <w:sz w:val="20"/>
            <w:szCs w:val="20"/>
          </w:rPr>
          <w:id w:val="-294902725"/>
          <w14:checkbox>
            <w14:checked w14:val="1"/>
            <w14:checkedState w14:val="2612" w14:font="MS Gothic"/>
            <w14:uncheckedState w14:val="2610" w14:font="MS Gothic"/>
          </w14:checkbox>
        </w:sdtPr>
        <w:sdtEndPr/>
        <w:sdtContent>
          <w:r w:rsidR="00372EF9">
            <w:rPr>
              <w:rFonts w:ascii="MS Gothic" w:eastAsia="MS Gothic" w:hAnsi="MS Gothic" w:hint="eastAsia"/>
              <w:sz w:val="20"/>
              <w:szCs w:val="20"/>
            </w:rPr>
            <w:t>☒</w:t>
          </w:r>
        </w:sdtContent>
      </w:sdt>
      <w:r w:rsidR="00AB2AC6" w:rsidRPr="00405A90">
        <w:rPr>
          <w:rFonts w:ascii="TheSans Spire Light" w:hAnsi="TheSans Spire Light"/>
          <w:sz w:val="20"/>
          <w:szCs w:val="20"/>
        </w:rPr>
        <w:t xml:space="preserve">    Al</w:t>
      </w:r>
      <w:r w:rsidR="00AB2AC6">
        <w:rPr>
          <w:rFonts w:ascii="TheSans Spire Light" w:hAnsi="TheSans Spire Light"/>
          <w:sz w:val="20"/>
          <w:szCs w:val="20"/>
        </w:rPr>
        <w:t>l policies and appendices have</w:t>
      </w:r>
      <w:r w:rsidR="00AB2AC6" w:rsidRPr="00405A90">
        <w:rPr>
          <w:rFonts w:ascii="TheSans Spire Light" w:hAnsi="TheSans Spire Light"/>
          <w:sz w:val="20"/>
          <w:szCs w:val="20"/>
        </w:rPr>
        <w:t xml:space="preserve"> be</w:t>
      </w:r>
      <w:r w:rsidR="00AB2AC6">
        <w:rPr>
          <w:rFonts w:ascii="TheSans Spire Light" w:hAnsi="TheSans Spire Light"/>
          <w:sz w:val="20"/>
          <w:szCs w:val="20"/>
        </w:rPr>
        <w:t>en</w:t>
      </w:r>
      <w:r w:rsidR="00AB2AC6" w:rsidRPr="00405A90">
        <w:rPr>
          <w:rFonts w:ascii="TheSans Spire Light" w:hAnsi="TheSans Spire Light"/>
          <w:sz w:val="20"/>
          <w:szCs w:val="20"/>
        </w:rPr>
        <w:t xml:space="preserve"> assigned to a relevant committee and </w:t>
      </w:r>
      <w:r w:rsidR="00AB2AC6">
        <w:rPr>
          <w:rFonts w:ascii="TheSans Spire Light" w:hAnsi="TheSans Spire Light"/>
          <w:sz w:val="20"/>
          <w:szCs w:val="20"/>
        </w:rPr>
        <w:t xml:space="preserve">executive </w:t>
      </w:r>
      <w:r w:rsidR="00AB2AC6" w:rsidRPr="00405A90">
        <w:rPr>
          <w:rFonts w:ascii="TheSans Spire Light" w:hAnsi="TheSans Spire Light"/>
          <w:sz w:val="20"/>
          <w:szCs w:val="20"/>
        </w:rPr>
        <w:t xml:space="preserve">director and </w:t>
      </w:r>
      <w:r w:rsidR="00AB2AC6">
        <w:rPr>
          <w:rFonts w:ascii="TheSans Spire Light" w:hAnsi="TheSans Spire Light"/>
          <w:sz w:val="20"/>
          <w:szCs w:val="20"/>
        </w:rPr>
        <w:t>that both have been consulted and are</w:t>
      </w:r>
      <w:r w:rsidR="00AB2AC6" w:rsidRPr="00405A90">
        <w:rPr>
          <w:rFonts w:ascii="TheSans Spire Light" w:hAnsi="TheSans Spire Light"/>
          <w:sz w:val="20"/>
          <w:szCs w:val="20"/>
        </w:rPr>
        <w:t xml:space="preserve"> aware of the policy / appendix prior to submission to PAC.</w:t>
      </w:r>
    </w:p>
    <w:p w14:paraId="7213E6BE" w14:textId="77777777" w:rsidR="00AB2AC6" w:rsidRPr="00405A90" w:rsidRDefault="00AB2AC6" w:rsidP="00AB2AC6">
      <w:pPr>
        <w:spacing w:after="0"/>
        <w:rPr>
          <w:rFonts w:ascii="TheSans Spire Light" w:hAnsi="TheSans Spire Light"/>
          <w:sz w:val="20"/>
          <w:szCs w:val="20"/>
        </w:rPr>
      </w:pPr>
    </w:p>
    <w:p w14:paraId="00880C7A" w14:textId="77777777" w:rsidR="00AB2AC6" w:rsidRDefault="00AB2AC6" w:rsidP="00AB2AC6">
      <w:pPr>
        <w:spacing w:after="0"/>
        <w:rPr>
          <w:rFonts w:ascii="TheSans Spire Light" w:hAnsi="TheSans Spire Light"/>
        </w:rPr>
      </w:pPr>
    </w:p>
    <w:p w14:paraId="7E5344C3" w14:textId="77777777" w:rsidR="00AB2AC6" w:rsidRPr="002D10EC" w:rsidRDefault="00AB2AC6" w:rsidP="00AB2AC6">
      <w:pPr>
        <w:spacing w:after="0"/>
        <w:rPr>
          <w:rFonts w:ascii="TheSans Spire Light" w:hAnsi="TheSans Spire Light"/>
          <w:color w:val="008385"/>
          <w:sz w:val="24"/>
          <w:szCs w:val="24"/>
        </w:rPr>
      </w:pPr>
      <w:r w:rsidRPr="002D10EC">
        <w:rPr>
          <w:rFonts w:ascii="TheSans Spire Light" w:hAnsi="TheSans Spire Light"/>
          <w:color w:val="008385"/>
          <w:sz w:val="24"/>
          <w:szCs w:val="24"/>
        </w:rPr>
        <w:t>GUIDANCE NOTES</w:t>
      </w:r>
    </w:p>
    <w:p w14:paraId="5B81DFA1" w14:textId="77777777" w:rsidR="00AB2AC6" w:rsidRDefault="00AB2AC6" w:rsidP="00AB2AC6">
      <w:pPr>
        <w:spacing w:after="0"/>
        <w:rPr>
          <w:rFonts w:ascii="TheSans Spire Light" w:hAnsi="TheSans Spire Light"/>
        </w:rPr>
      </w:pPr>
    </w:p>
    <w:tbl>
      <w:tblPr>
        <w:tblStyle w:val="TableGrid"/>
        <w:tblW w:w="9781" w:type="dxa"/>
        <w:tblBorders>
          <w:top w:val="single" w:sz="48" w:space="0" w:color="FFFFFF" w:themeColor="background1"/>
          <w:left w:val="none" w:sz="0" w:space="0" w:color="auto"/>
          <w:bottom w:val="single" w:sz="48" w:space="0" w:color="FFFFFF" w:themeColor="background1"/>
          <w:right w:val="none" w:sz="0" w:space="0" w:color="auto"/>
          <w:insideH w:val="single" w:sz="48" w:space="0" w:color="FFFFFF" w:themeColor="background1"/>
          <w:insideV w:val="single" w:sz="48" w:space="0" w:color="FFFFFF" w:themeColor="background1"/>
        </w:tblBorders>
        <w:tblLook w:val="04A0" w:firstRow="1" w:lastRow="0" w:firstColumn="1" w:lastColumn="0" w:noHBand="0" w:noVBand="1"/>
      </w:tblPr>
      <w:tblGrid>
        <w:gridCol w:w="1843"/>
        <w:gridCol w:w="7938"/>
      </w:tblGrid>
      <w:tr w:rsidR="00AB2AC6" w:rsidRPr="00074EAB" w14:paraId="0CF813AF" w14:textId="77777777" w:rsidTr="00BE34F8">
        <w:trPr>
          <w:trHeight w:val="270"/>
        </w:trPr>
        <w:tc>
          <w:tcPr>
            <w:tcW w:w="1843" w:type="dxa"/>
            <w:shd w:val="clear" w:color="auto" w:fill="008385"/>
            <w:noWrap/>
            <w:vAlign w:val="center"/>
          </w:tcPr>
          <w:p w14:paraId="206D135C" w14:textId="77777777" w:rsidR="00AB2AC6" w:rsidRPr="00B10946" w:rsidRDefault="00AB2AC6" w:rsidP="00BE34F8">
            <w:pPr>
              <w:jc w:val="right"/>
              <w:rPr>
                <w:rFonts w:ascii="TheSans Spire Light" w:hAnsi="TheSans Spire Light" w:cstheme="minorHAnsi"/>
                <w:color w:val="FFFFFF" w:themeColor="background1"/>
                <w:sz w:val="20"/>
                <w:szCs w:val="20"/>
              </w:rPr>
            </w:pPr>
            <w:r w:rsidRPr="00B10946">
              <w:rPr>
                <w:rFonts w:ascii="TheSans Spire Light" w:hAnsi="TheSans Spire Light" w:cstheme="minorHAnsi"/>
                <w:color w:val="FFFFFF" w:themeColor="background1"/>
                <w:sz w:val="20"/>
                <w:szCs w:val="20"/>
              </w:rPr>
              <w:t>Reference:</w:t>
            </w:r>
          </w:p>
        </w:tc>
        <w:tc>
          <w:tcPr>
            <w:tcW w:w="7938" w:type="dxa"/>
            <w:vAlign w:val="center"/>
          </w:tcPr>
          <w:p w14:paraId="138C6B2B" w14:textId="4300F05A" w:rsidR="00AB2AC6" w:rsidRPr="00B10946" w:rsidRDefault="00701DE0" w:rsidP="00BE34F8">
            <w:pPr>
              <w:ind w:left="94"/>
              <w:rPr>
                <w:rFonts w:ascii="TheSans Spire Light" w:hAnsi="TheSans Spire Light" w:cstheme="minorHAnsi"/>
                <w:color w:val="3B3838" w:themeColor="background2" w:themeShade="40"/>
                <w:sz w:val="16"/>
                <w:szCs w:val="16"/>
              </w:rPr>
            </w:pPr>
            <w:r>
              <w:rPr>
                <w:rFonts w:ascii="TheSans Spire Light" w:hAnsi="TheSans Spire Light" w:cstheme="minorHAnsi"/>
                <w:color w:val="3B3838" w:themeColor="background2" w:themeShade="40"/>
                <w:sz w:val="16"/>
                <w:szCs w:val="16"/>
              </w:rPr>
              <w:t>CLINI 103</w:t>
            </w:r>
            <w:r w:rsidR="00AB2AC6">
              <w:rPr>
                <w:rFonts w:ascii="TheSans Spire Light" w:hAnsi="TheSans Spire Light" w:cstheme="minorHAnsi"/>
                <w:color w:val="3B3838" w:themeColor="background2" w:themeShade="40"/>
                <w:sz w:val="16"/>
                <w:szCs w:val="16"/>
              </w:rPr>
              <w:t xml:space="preserve"> </w:t>
            </w:r>
          </w:p>
        </w:tc>
      </w:tr>
      <w:tr w:rsidR="00AB2AC6" w:rsidRPr="00074EAB" w14:paraId="14D50244" w14:textId="77777777" w:rsidTr="00BE34F8">
        <w:trPr>
          <w:trHeight w:val="255"/>
        </w:trPr>
        <w:tc>
          <w:tcPr>
            <w:tcW w:w="1843" w:type="dxa"/>
            <w:shd w:val="clear" w:color="auto" w:fill="008385"/>
            <w:noWrap/>
            <w:vAlign w:val="center"/>
          </w:tcPr>
          <w:p w14:paraId="2417E9DB" w14:textId="77777777" w:rsidR="00AB2AC6" w:rsidRPr="00B10946" w:rsidRDefault="00AB2AC6" w:rsidP="00BE34F8">
            <w:pPr>
              <w:jc w:val="right"/>
              <w:rPr>
                <w:rFonts w:ascii="TheSans Spire Light" w:hAnsi="TheSans Spire Light" w:cstheme="minorHAnsi"/>
                <w:color w:val="FFFFFF" w:themeColor="background1"/>
                <w:sz w:val="20"/>
                <w:szCs w:val="20"/>
              </w:rPr>
            </w:pPr>
            <w:r w:rsidRPr="00B10946">
              <w:rPr>
                <w:rFonts w:ascii="TheSans Spire Light" w:hAnsi="TheSans Spire Light" w:cstheme="minorHAnsi"/>
                <w:color w:val="FFFFFF" w:themeColor="background1"/>
                <w:sz w:val="20"/>
                <w:szCs w:val="20"/>
              </w:rPr>
              <w:t>Policy Name:</w:t>
            </w:r>
          </w:p>
        </w:tc>
        <w:tc>
          <w:tcPr>
            <w:tcW w:w="7938" w:type="dxa"/>
            <w:vAlign w:val="center"/>
          </w:tcPr>
          <w:p w14:paraId="447342C3" w14:textId="1B3DEE4E" w:rsidR="00AB2AC6" w:rsidRPr="00B10946" w:rsidRDefault="00701DE0" w:rsidP="00BE34F8">
            <w:pPr>
              <w:ind w:left="94"/>
              <w:rPr>
                <w:rFonts w:ascii="TheSans Spire Light" w:hAnsi="TheSans Spire Light" w:cstheme="minorHAnsi"/>
                <w:color w:val="3B3838" w:themeColor="background2" w:themeShade="40"/>
                <w:sz w:val="16"/>
                <w:szCs w:val="16"/>
              </w:rPr>
            </w:pPr>
            <w:r>
              <w:rPr>
                <w:rFonts w:ascii="TheSans Spire Light" w:hAnsi="TheSans Spire Light" w:cstheme="minorHAnsi"/>
                <w:color w:val="3B3838" w:themeColor="background2" w:themeShade="40"/>
                <w:sz w:val="16"/>
                <w:szCs w:val="16"/>
              </w:rPr>
              <w:t xml:space="preserve">PSIRF Policy </w:t>
            </w:r>
          </w:p>
        </w:tc>
      </w:tr>
      <w:tr w:rsidR="00AB2AC6" w:rsidRPr="00074EAB" w14:paraId="0138DED1" w14:textId="77777777" w:rsidTr="00BE34F8">
        <w:trPr>
          <w:trHeight w:val="255"/>
        </w:trPr>
        <w:tc>
          <w:tcPr>
            <w:tcW w:w="1843" w:type="dxa"/>
            <w:shd w:val="clear" w:color="auto" w:fill="008385"/>
            <w:noWrap/>
            <w:vAlign w:val="center"/>
          </w:tcPr>
          <w:p w14:paraId="4AC4B2DC" w14:textId="77777777" w:rsidR="00AB2AC6" w:rsidRPr="00B10946" w:rsidRDefault="00AB2AC6" w:rsidP="00BE34F8">
            <w:pPr>
              <w:jc w:val="right"/>
              <w:rPr>
                <w:rFonts w:ascii="TheSans Spire Light" w:hAnsi="TheSans Spire Light" w:cstheme="minorHAnsi"/>
                <w:color w:val="FFFFFF" w:themeColor="background1"/>
                <w:sz w:val="20"/>
                <w:szCs w:val="20"/>
              </w:rPr>
            </w:pPr>
            <w:r w:rsidRPr="00B10946">
              <w:rPr>
                <w:rFonts w:ascii="TheSans Spire Light" w:hAnsi="TheSans Spire Light" w:cstheme="minorHAnsi"/>
                <w:color w:val="FFFFFF" w:themeColor="background1"/>
                <w:sz w:val="20"/>
                <w:szCs w:val="20"/>
              </w:rPr>
              <w:t>Directorate:</w:t>
            </w:r>
          </w:p>
        </w:tc>
        <w:tc>
          <w:tcPr>
            <w:tcW w:w="7938" w:type="dxa"/>
            <w:vAlign w:val="center"/>
          </w:tcPr>
          <w:p w14:paraId="770E78B0" w14:textId="77777777" w:rsidR="00AB2AC6" w:rsidRPr="00B10946" w:rsidRDefault="00AB2AC6" w:rsidP="00BE34F8">
            <w:pPr>
              <w:ind w:left="94"/>
              <w:rPr>
                <w:rFonts w:ascii="TheSans Spire Light" w:hAnsi="TheSans Spire Light" w:cstheme="minorHAnsi"/>
                <w:color w:val="3B3838" w:themeColor="background2" w:themeShade="40"/>
                <w:sz w:val="16"/>
                <w:szCs w:val="16"/>
              </w:rPr>
            </w:pPr>
            <w:r>
              <w:rPr>
                <w:rFonts w:ascii="TheSans Spire Light" w:hAnsi="TheSans Spire Light" w:cstheme="minorHAnsi"/>
                <w:color w:val="3B3838" w:themeColor="background2" w:themeShade="40"/>
                <w:sz w:val="16"/>
                <w:szCs w:val="16"/>
              </w:rPr>
              <w:t>Name of the directorate in which the author sits.</w:t>
            </w:r>
          </w:p>
        </w:tc>
      </w:tr>
      <w:tr w:rsidR="00AB2AC6" w:rsidRPr="00074EAB" w14:paraId="2756C533" w14:textId="77777777" w:rsidTr="00BE34F8">
        <w:trPr>
          <w:trHeight w:val="255"/>
        </w:trPr>
        <w:tc>
          <w:tcPr>
            <w:tcW w:w="1843" w:type="dxa"/>
            <w:shd w:val="clear" w:color="auto" w:fill="008385"/>
            <w:noWrap/>
            <w:vAlign w:val="center"/>
          </w:tcPr>
          <w:p w14:paraId="7DC8BA89" w14:textId="77777777" w:rsidR="00AB2AC6" w:rsidRPr="00B10946" w:rsidRDefault="00AB2AC6" w:rsidP="00BE34F8">
            <w:pPr>
              <w:jc w:val="right"/>
              <w:rPr>
                <w:rFonts w:ascii="TheSans Spire Light" w:hAnsi="TheSans Spire Light" w:cstheme="minorHAnsi"/>
                <w:color w:val="FFFFFF" w:themeColor="background1"/>
                <w:sz w:val="20"/>
                <w:szCs w:val="20"/>
              </w:rPr>
            </w:pPr>
            <w:r w:rsidRPr="00B10946">
              <w:rPr>
                <w:rFonts w:ascii="TheSans Spire Light" w:hAnsi="TheSans Spire Light" w:cstheme="minorHAnsi"/>
                <w:color w:val="FFFFFF" w:themeColor="background1"/>
                <w:sz w:val="20"/>
                <w:szCs w:val="20"/>
              </w:rPr>
              <w:t>Committee:</w:t>
            </w:r>
          </w:p>
        </w:tc>
        <w:tc>
          <w:tcPr>
            <w:tcW w:w="7938" w:type="dxa"/>
            <w:vAlign w:val="center"/>
          </w:tcPr>
          <w:p w14:paraId="18A905F8" w14:textId="77777777" w:rsidR="00AB2AC6" w:rsidRPr="00B10946" w:rsidRDefault="00AB2AC6" w:rsidP="00BE34F8">
            <w:pPr>
              <w:ind w:left="94"/>
              <w:rPr>
                <w:rFonts w:ascii="TheSans Spire Light" w:hAnsi="TheSans Spire Light" w:cstheme="minorHAnsi"/>
                <w:color w:val="3B3838" w:themeColor="background2" w:themeShade="40"/>
                <w:sz w:val="16"/>
                <w:szCs w:val="16"/>
              </w:rPr>
            </w:pPr>
            <w:r>
              <w:rPr>
                <w:rFonts w:ascii="TheSans Spire Light" w:hAnsi="TheSans Spire Light" w:cstheme="minorHAnsi"/>
                <w:color w:val="3B3838" w:themeColor="background2" w:themeShade="40"/>
                <w:sz w:val="16"/>
                <w:szCs w:val="16"/>
              </w:rPr>
              <w:t>Name of the committee which has responsibility for this policy area of work</w:t>
            </w:r>
          </w:p>
        </w:tc>
      </w:tr>
      <w:tr w:rsidR="00AB2AC6" w:rsidRPr="00074EAB" w14:paraId="719D51AF" w14:textId="77777777" w:rsidTr="00BE34F8">
        <w:trPr>
          <w:trHeight w:val="255"/>
        </w:trPr>
        <w:tc>
          <w:tcPr>
            <w:tcW w:w="1843" w:type="dxa"/>
            <w:shd w:val="clear" w:color="auto" w:fill="008385"/>
            <w:noWrap/>
            <w:vAlign w:val="center"/>
          </w:tcPr>
          <w:p w14:paraId="46D801A8" w14:textId="77777777" w:rsidR="00AB2AC6" w:rsidRPr="00B10946" w:rsidRDefault="00AB2AC6" w:rsidP="00BE34F8">
            <w:pPr>
              <w:jc w:val="right"/>
              <w:rPr>
                <w:rFonts w:ascii="TheSans Spire Light" w:hAnsi="TheSans Spire Light" w:cstheme="minorHAnsi"/>
                <w:color w:val="FFFFFF" w:themeColor="background1"/>
                <w:sz w:val="20"/>
                <w:szCs w:val="20"/>
              </w:rPr>
            </w:pPr>
            <w:r w:rsidRPr="00B10946">
              <w:rPr>
                <w:rFonts w:ascii="TheSans Spire Light" w:hAnsi="TheSans Spire Light" w:cstheme="minorHAnsi"/>
                <w:color w:val="FFFFFF" w:themeColor="background1"/>
                <w:sz w:val="20"/>
                <w:szCs w:val="20"/>
              </w:rPr>
              <w:t>Author Name:</w:t>
            </w:r>
          </w:p>
        </w:tc>
        <w:tc>
          <w:tcPr>
            <w:tcW w:w="7938" w:type="dxa"/>
            <w:vAlign w:val="center"/>
          </w:tcPr>
          <w:p w14:paraId="67C4527C" w14:textId="77777777" w:rsidR="00AB2AC6" w:rsidRPr="00B10946" w:rsidRDefault="00AB2AC6" w:rsidP="00BE34F8">
            <w:pPr>
              <w:ind w:left="94"/>
              <w:rPr>
                <w:rFonts w:ascii="TheSans Spire Light" w:hAnsi="TheSans Spire Light" w:cstheme="minorHAnsi"/>
                <w:color w:val="3B3838" w:themeColor="background2" w:themeShade="40"/>
                <w:sz w:val="16"/>
                <w:szCs w:val="16"/>
              </w:rPr>
            </w:pPr>
            <w:r>
              <w:rPr>
                <w:rFonts w:ascii="TheSans Spire Light" w:hAnsi="TheSans Spire Light" w:cstheme="minorHAnsi"/>
                <w:color w:val="3B3838" w:themeColor="background2" w:themeShade="40"/>
                <w:sz w:val="16"/>
                <w:szCs w:val="16"/>
              </w:rPr>
              <w:t>Your name (one person only)</w:t>
            </w:r>
          </w:p>
        </w:tc>
      </w:tr>
      <w:tr w:rsidR="00AB2AC6" w:rsidRPr="00074EAB" w14:paraId="2D784306" w14:textId="77777777" w:rsidTr="00BE34F8">
        <w:trPr>
          <w:trHeight w:val="255"/>
        </w:trPr>
        <w:tc>
          <w:tcPr>
            <w:tcW w:w="1843" w:type="dxa"/>
            <w:shd w:val="clear" w:color="auto" w:fill="008385"/>
            <w:noWrap/>
            <w:vAlign w:val="center"/>
          </w:tcPr>
          <w:p w14:paraId="3B53A355" w14:textId="77777777" w:rsidR="00AB2AC6" w:rsidRPr="00B10946" w:rsidRDefault="00AB2AC6" w:rsidP="00BE34F8">
            <w:pPr>
              <w:jc w:val="right"/>
              <w:rPr>
                <w:rFonts w:ascii="TheSans Spire Light" w:hAnsi="TheSans Spire Light" w:cstheme="minorHAnsi"/>
                <w:color w:val="FFFFFF" w:themeColor="background1"/>
                <w:sz w:val="20"/>
                <w:szCs w:val="20"/>
              </w:rPr>
            </w:pPr>
            <w:r w:rsidRPr="00B10946">
              <w:rPr>
                <w:rFonts w:ascii="TheSans Spire Light" w:hAnsi="TheSans Spire Light" w:cstheme="minorHAnsi"/>
                <w:color w:val="FFFFFF" w:themeColor="background1"/>
                <w:sz w:val="20"/>
                <w:szCs w:val="20"/>
              </w:rPr>
              <w:t>Author Job Title:</w:t>
            </w:r>
          </w:p>
        </w:tc>
        <w:tc>
          <w:tcPr>
            <w:tcW w:w="7938" w:type="dxa"/>
            <w:vAlign w:val="center"/>
          </w:tcPr>
          <w:p w14:paraId="12ADB7FE" w14:textId="77777777" w:rsidR="00AB2AC6" w:rsidRPr="00B10946" w:rsidRDefault="00AB2AC6" w:rsidP="00BE34F8">
            <w:pPr>
              <w:ind w:left="94"/>
              <w:rPr>
                <w:rFonts w:ascii="TheSans Spire Light" w:hAnsi="TheSans Spire Light" w:cstheme="minorHAnsi"/>
                <w:color w:val="3B3838" w:themeColor="background2" w:themeShade="40"/>
                <w:sz w:val="16"/>
                <w:szCs w:val="16"/>
              </w:rPr>
            </w:pPr>
            <w:r>
              <w:rPr>
                <w:rFonts w:ascii="TheSans Spire Light" w:hAnsi="TheSans Spire Light" w:cstheme="minorHAnsi"/>
                <w:color w:val="3B3838" w:themeColor="background2" w:themeShade="40"/>
                <w:sz w:val="16"/>
                <w:szCs w:val="16"/>
              </w:rPr>
              <w:t>Your job title</w:t>
            </w:r>
          </w:p>
        </w:tc>
      </w:tr>
      <w:tr w:rsidR="00AB2AC6" w:rsidRPr="00074EAB" w14:paraId="1ECA510F" w14:textId="77777777" w:rsidTr="00BE34F8">
        <w:trPr>
          <w:trHeight w:val="255"/>
        </w:trPr>
        <w:tc>
          <w:tcPr>
            <w:tcW w:w="1843" w:type="dxa"/>
            <w:shd w:val="clear" w:color="auto" w:fill="008385"/>
            <w:noWrap/>
            <w:vAlign w:val="center"/>
          </w:tcPr>
          <w:p w14:paraId="79AFF60C" w14:textId="77777777" w:rsidR="00AB2AC6" w:rsidRPr="00B10946" w:rsidRDefault="00AB2AC6" w:rsidP="00BE34F8">
            <w:pPr>
              <w:jc w:val="right"/>
              <w:rPr>
                <w:rFonts w:ascii="TheSans Spire Light" w:hAnsi="TheSans Spire Light" w:cstheme="minorHAnsi"/>
                <w:color w:val="FFFFFF" w:themeColor="background1"/>
                <w:sz w:val="20"/>
                <w:szCs w:val="20"/>
              </w:rPr>
            </w:pPr>
            <w:r w:rsidRPr="00B10946">
              <w:rPr>
                <w:rFonts w:ascii="TheSans Spire Light" w:hAnsi="TheSans Spire Light" w:cstheme="minorHAnsi"/>
                <w:color w:val="FFFFFF" w:themeColor="background1"/>
                <w:sz w:val="20"/>
                <w:szCs w:val="20"/>
              </w:rPr>
              <w:t>Issue Date:</w:t>
            </w:r>
          </w:p>
        </w:tc>
        <w:tc>
          <w:tcPr>
            <w:tcW w:w="7938" w:type="dxa"/>
            <w:vAlign w:val="center"/>
          </w:tcPr>
          <w:p w14:paraId="6E7F2564" w14:textId="697761E3" w:rsidR="00AB2AC6" w:rsidRPr="00B10946" w:rsidRDefault="00701DE0" w:rsidP="00BE34F8">
            <w:pPr>
              <w:ind w:left="94"/>
              <w:rPr>
                <w:rFonts w:ascii="TheSans Spire Light" w:hAnsi="TheSans Spire Light" w:cstheme="minorHAnsi"/>
                <w:color w:val="3B3838" w:themeColor="background2" w:themeShade="40"/>
                <w:sz w:val="16"/>
                <w:szCs w:val="16"/>
              </w:rPr>
            </w:pPr>
            <w:r>
              <w:rPr>
                <w:rFonts w:ascii="TheSans Spire Light" w:hAnsi="TheSans Spire Light" w:cstheme="minorHAnsi"/>
                <w:color w:val="3B3838" w:themeColor="background2" w:themeShade="40"/>
                <w:sz w:val="16"/>
                <w:szCs w:val="16"/>
              </w:rPr>
              <w:t>March 2024</w:t>
            </w:r>
          </w:p>
        </w:tc>
      </w:tr>
      <w:tr w:rsidR="00AB2AC6" w:rsidRPr="00074EAB" w14:paraId="45CAFC19" w14:textId="77777777" w:rsidTr="00BE34F8">
        <w:trPr>
          <w:trHeight w:val="255"/>
        </w:trPr>
        <w:tc>
          <w:tcPr>
            <w:tcW w:w="1843" w:type="dxa"/>
            <w:shd w:val="clear" w:color="auto" w:fill="008385"/>
            <w:noWrap/>
            <w:vAlign w:val="center"/>
          </w:tcPr>
          <w:p w14:paraId="52947D4C" w14:textId="77777777" w:rsidR="00AB2AC6" w:rsidRPr="00B10946" w:rsidRDefault="00AB2AC6" w:rsidP="00BE34F8">
            <w:pPr>
              <w:jc w:val="right"/>
              <w:rPr>
                <w:rFonts w:ascii="TheSans Spire Light" w:hAnsi="TheSans Spire Light" w:cstheme="minorHAnsi"/>
                <w:color w:val="FFFFFF" w:themeColor="background1"/>
                <w:sz w:val="20"/>
                <w:szCs w:val="20"/>
              </w:rPr>
            </w:pPr>
            <w:r w:rsidRPr="00B10946">
              <w:rPr>
                <w:rFonts w:ascii="TheSans Spire Light" w:hAnsi="TheSans Spire Light" w:cstheme="minorHAnsi"/>
                <w:color w:val="FFFFFF" w:themeColor="background1"/>
                <w:sz w:val="20"/>
                <w:szCs w:val="20"/>
              </w:rPr>
              <w:t>Next Review Date:</w:t>
            </w:r>
          </w:p>
        </w:tc>
        <w:tc>
          <w:tcPr>
            <w:tcW w:w="7938" w:type="dxa"/>
            <w:vAlign w:val="center"/>
          </w:tcPr>
          <w:p w14:paraId="2597A613" w14:textId="55D9CEDB" w:rsidR="00AB2AC6" w:rsidRPr="00B10946" w:rsidRDefault="00562FDF" w:rsidP="00BE34F8">
            <w:pPr>
              <w:ind w:left="94"/>
              <w:rPr>
                <w:rFonts w:ascii="TheSans Spire Light" w:hAnsi="TheSans Spire Light" w:cstheme="minorHAnsi"/>
                <w:color w:val="3B3838" w:themeColor="background2" w:themeShade="40"/>
                <w:sz w:val="16"/>
                <w:szCs w:val="16"/>
              </w:rPr>
            </w:pPr>
            <w:r>
              <w:rPr>
                <w:rFonts w:ascii="TheSans Spire Light" w:hAnsi="TheSans Spire Light" w:cstheme="minorHAnsi"/>
                <w:color w:val="3B3838" w:themeColor="background2" w:themeShade="40"/>
                <w:sz w:val="16"/>
                <w:szCs w:val="16"/>
              </w:rPr>
              <w:t>March 207</w:t>
            </w:r>
          </w:p>
        </w:tc>
      </w:tr>
      <w:tr w:rsidR="00AB2AC6" w:rsidRPr="00074EAB" w14:paraId="03D742BE" w14:textId="77777777" w:rsidTr="00BE34F8">
        <w:trPr>
          <w:trHeight w:val="255"/>
        </w:trPr>
        <w:tc>
          <w:tcPr>
            <w:tcW w:w="1843" w:type="dxa"/>
            <w:shd w:val="clear" w:color="auto" w:fill="008385"/>
            <w:noWrap/>
            <w:vAlign w:val="center"/>
          </w:tcPr>
          <w:p w14:paraId="173612B7" w14:textId="77777777" w:rsidR="00AB2AC6" w:rsidRPr="00B10946" w:rsidRDefault="00AB2AC6" w:rsidP="00BE34F8">
            <w:pPr>
              <w:jc w:val="right"/>
              <w:rPr>
                <w:rFonts w:ascii="TheSans Spire Light" w:hAnsi="TheSans Spire Light" w:cstheme="minorHAnsi"/>
                <w:color w:val="FFFFFF" w:themeColor="background1"/>
                <w:sz w:val="20"/>
                <w:szCs w:val="20"/>
              </w:rPr>
            </w:pPr>
            <w:r w:rsidRPr="00B10946">
              <w:rPr>
                <w:rFonts w:ascii="TheSans Spire Light" w:hAnsi="TheSans Spire Light" w:cstheme="minorHAnsi"/>
                <w:color w:val="FFFFFF" w:themeColor="background1"/>
                <w:sz w:val="20"/>
                <w:szCs w:val="20"/>
              </w:rPr>
              <w:t>Issue Number:</w:t>
            </w:r>
          </w:p>
        </w:tc>
        <w:tc>
          <w:tcPr>
            <w:tcW w:w="7938" w:type="dxa"/>
            <w:vAlign w:val="center"/>
          </w:tcPr>
          <w:p w14:paraId="1078C2D6" w14:textId="78DF4BD7" w:rsidR="00AB2AC6" w:rsidRPr="00B10946" w:rsidRDefault="00701DE0" w:rsidP="00BE34F8">
            <w:pPr>
              <w:ind w:left="94"/>
              <w:rPr>
                <w:rFonts w:ascii="TheSans Spire Light" w:hAnsi="TheSans Spire Light" w:cstheme="minorHAnsi"/>
                <w:color w:val="3B3838" w:themeColor="background2" w:themeShade="40"/>
                <w:sz w:val="16"/>
                <w:szCs w:val="16"/>
              </w:rPr>
            </w:pPr>
            <w:r>
              <w:rPr>
                <w:rFonts w:ascii="TheSans Spire Light" w:hAnsi="TheSans Spire Light" w:cstheme="minorHAnsi"/>
                <w:color w:val="3B3838" w:themeColor="background2" w:themeShade="40"/>
                <w:sz w:val="16"/>
                <w:szCs w:val="16"/>
              </w:rPr>
              <w:t>1</w:t>
            </w:r>
          </w:p>
        </w:tc>
      </w:tr>
    </w:tbl>
    <w:p w14:paraId="742832EF" w14:textId="77777777" w:rsidR="00AB2AC6" w:rsidRDefault="00AB2AC6" w:rsidP="00AB2AC6">
      <w:pPr>
        <w:spacing w:after="0"/>
        <w:rPr>
          <w:rFonts w:ascii="TheSans Spire Light" w:hAnsi="TheSans Spire Light"/>
        </w:rPr>
      </w:pPr>
    </w:p>
    <w:p w14:paraId="4536F8B4" w14:textId="77777777" w:rsidR="00AB2AC6" w:rsidRDefault="00AB2AC6" w:rsidP="00AB2AC6">
      <w:pPr>
        <w:spacing w:after="0"/>
        <w:rPr>
          <w:rFonts w:ascii="TheSans Spire Light" w:hAnsi="TheSans Spire Light"/>
        </w:rPr>
      </w:pPr>
    </w:p>
    <w:p w14:paraId="68EFF139" w14:textId="77777777" w:rsidR="00AB2AC6" w:rsidRPr="00B260F1" w:rsidRDefault="00AB2AC6" w:rsidP="00AB2AC6">
      <w:pPr>
        <w:spacing w:after="0"/>
        <w:rPr>
          <w:rFonts w:ascii="TheSans Spire Light" w:hAnsi="TheSans Spire Light"/>
        </w:rPr>
      </w:pPr>
    </w:p>
    <w:p w14:paraId="622187F4" w14:textId="77777777" w:rsidR="00AB2AC6" w:rsidRPr="008A7121" w:rsidRDefault="00AB2AC6" w:rsidP="004F64D3">
      <w:pPr>
        <w:pStyle w:val="Heading1"/>
        <w:numPr>
          <w:ilvl w:val="0"/>
          <w:numId w:val="0"/>
        </w:numPr>
        <w:ind w:left="720"/>
        <w:rPr>
          <w:b w:val="0"/>
          <w:bCs w:val="0"/>
          <w:sz w:val="22"/>
          <w:szCs w:val="22"/>
        </w:rPr>
      </w:pPr>
    </w:p>
    <w:sectPr w:rsidR="00AB2AC6" w:rsidRPr="008A7121" w:rsidSect="00B16B2F">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80FC14" w14:textId="77777777" w:rsidR="00B16B2F" w:rsidRDefault="00B16B2F" w:rsidP="00B260F1">
      <w:pPr>
        <w:spacing w:after="0" w:line="240" w:lineRule="auto"/>
      </w:pPr>
      <w:r>
        <w:separator/>
      </w:r>
    </w:p>
  </w:endnote>
  <w:endnote w:type="continuationSeparator" w:id="0">
    <w:p w14:paraId="197C5EE4" w14:textId="77777777" w:rsidR="00B16B2F" w:rsidRDefault="00B16B2F" w:rsidP="00B260F1">
      <w:pPr>
        <w:spacing w:after="0" w:line="240" w:lineRule="auto"/>
      </w:pPr>
      <w:r>
        <w:continuationSeparator/>
      </w:r>
    </w:p>
  </w:endnote>
  <w:endnote w:type="continuationNotice" w:id="1">
    <w:p w14:paraId="68BF97BE" w14:textId="77777777" w:rsidR="00B16B2F" w:rsidRDefault="00B16B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 Spire">
    <w:panose1 w:val="020B0502060101020104"/>
    <w:charset w:val="00"/>
    <w:family w:val="swiss"/>
    <w:pitch w:val="variable"/>
    <w:sig w:usb0="80000027" w:usb1="50000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heSans Spire Light">
    <w:panose1 w:val="020B0302060101020104"/>
    <w:charset w:val="00"/>
    <w:family w:val="swiss"/>
    <w:pitch w:val="variable"/>
    <w:sig w:usb0="80000027" w:usb1="50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Sans Spire Light" w:hAnsi="TheSans Spire Light"/>
        <w:sz w:val="16"/>
        <w:szCs w:val="16"/>
      </w:rPr>
      <w:id w:val="1542325395"/>
      <w:docPartObj>
        <w:docPartGallery w:val="Page Numbers (Bottom of Page)"/>
        <w:docPartUnique/>
      </w:docPartObj>
    </w:sdtPr>
    <w:sdtEndPr/>
    <w:sdtContent>
      <w:sdt>
        <w:sdtPr>
          <w:rPr>
            <w:rFonts w:ascii="TheSans Spire Light" w:hAnsi="TheSans Spire Light"/>
            <w:sz w:val="16"/>
            <w:szCs w:val="16"/>
          </w:rPr>
          <w:id w:val="-1769616900"/>
          <w:docPartObj>
            <w:docPartGallery w:val="Page Numbers (Top of Page)"/>
            <w:docPartUnique/>
          </w:docPartObj>
        </w:sdtPr>
        <w:sdtEndPr/>
        <w:sdtContent>
          <w:p w14:paraId="17F58DFD" w14:textId="00D61473" w:rsidR="00953935" w:rsidRPr="00B260F1" w:rsidRDefault="00953935">
            <w:pPr>
              <w:pStyle w:val="Footer"/>
              <w:jc w:val="right"/>
              <w:rPr>
                <w:rFonts w:ascii="TheSans Spire Light" w:hAnsi="TheSans Spire Light"/>
                <w:sz w:val="16"/>
                <w:szCs w:val="16"/>
              </w:rPr>
            </w:pPr>
            <w:r w:rsidRPr="00B260F1">
              <w:rPr>
                <w:rFonts w:ascii="TheSans Spire Light" w:hAnsi="TheSans Spire Light"/>
                <w:sz w:val="16"/>
                <w:szCs w:val="16"/>
              </w:rPr>
              <w:t xml:space="preserve">Page </w:t>
            </w:r>
            <w:r w:rsidRPr="00B260F1">
              <w:rPr>
                <w:rFonts w:ascii="TheSans Spire Light" w:hAnsi="TheSans Spire Light"/>
                <w:b/>
                <w:bCs/>
                <w:sz w:val="16"/>
                <w:szCs w:val="16"/>
              </w:rPr>
              <w:fldChar w:fldCharType="begin"/>
            </w:r>
            <w:r w:rsidRPr="00B260F1">
              <w:rPr>
                <w:rFonts w:ascii="TheSans Spire Light" w:hAnsi="TheSans Spire Light"/>
                <w:b/>
                <w:bCs/>
                <w:sz w:val="16"/>
                <w:szCs w:val="16"/>
              </w:rPr>
              <w:instrText xml:space="preserve"> PAGE </w:instrText>
            </w:r>
            <w:r w:rsidRPr="00B260F1">
              <w:rPr>
                <w:rFonts w:ascii="TheSans Spire Light" w:hAnsi="TheSans Spire Light"/>
                <w:b/>
                <w:bCs/>
                <w:sz w:val="16"/>
                <w:szCs w:val="16"/>
              </w:rPr>
              <w:fldChar w:fldCharType="separate"/>
            </w:r>
            <w:r w:rsidR="00671985">
              <w:rPr>
                <w:rFonts w:ascii="TheSans Spire Light" w:hAnsi="TheSans Spire Light"/>
                <w:b/>
                <w:bCs/>
                <w:noProof/>
                <w:sz w:val="16"/>
                <w:szCs w:val="16"/>
              </w:rPr>
              <w:t>5</w:t>
            </w:r>
            <w:r w:rsidRPr="00B260F1">
              <w:rPr>
                <w:rFonts w:ascii="TheSans Spire Light" w:hAnsi="TheSans Spire Light"/>
                <w:b/>
                <w:bCs/>
                <w:sz w:val="16"/>
                <w:szCs w:val="16"/>
              </w:rPr>
              <w:fldChar w:fldCharType="end"/>
            </w:r>
            <w:r w:rsidRPr="00B260F1">
              <w:rPr>
                <w:rFonts w:ascii="TheSans Spire Light" w:hAnsi="TheSans Spire Light"/>
                <w:sz w:val="16"/>
                <w:szCs w:val="16"/>
              </w:rPr>
              <w:t xml:space="preserve"> of </w:t>
            </w:r>
            <w:r w:rsidRPr="00B260F1">
              <w:rPr>
                <w:rFonts w:ascii="TheSans Spire Light" w:hAnsi="TheSans Spire Light"/>
                <w:b/>
                <w:bCs/>
                <w:sz w:val="16"/>
                <w:szCs w:val="16"/>
              </w:rPr>
              <w:fldChar w:fldCharType="begin"/>
            </w:r>
            <w:r w:rsidRPr="00B260F1">
              <w:rPr>
                <w:rFonts w:ascii="TheSans Spire Light" w:hAnsi="TheSans Spire Light"/>
                <w:b/>
                <w:bCs/>
                <w:sz w:val="16"/>
                <w:szCs w:val="16"/>
              </w:rPr>
              <w:instrText xml:space="preserve"> NUMPAGES  </w:instrText>
            </w:r>
            <w:r w:rsidRPr="00B260F1">
              <w:rPr>
                <w:rFonts w:ascii="TheSans Spire Light" w:hAnsi="TheSans Spire Light"/>
                <w:b/>
                <w:bCs/>
                <w:sz w:val="16"/>
                <w:szCs w:val="16"/>
              </w:rPr>
              <w:fldChar w:fldCharType="separate"/>
            </w:r>
            <w:r w:rsidR="00671985">
              <w:rPr>
                <w:rFonts w:ascii="TheSans Spire Light" w:hAnsi="TheSans Spire Light"/>
                <w:b/>
                <w:bCs/>
                <w:noProof/>
                <w:sz w:val="16"/>
                <w:szCs w:val="16"/>
              </w:rPr>
              <w:t>24</w:t>
            </w:r>
            <w:r w:rsidRPr="00B260F1">
              <w:rPr>
                <w:rFonts w:ascii="TheSans Spire Light" w:hAnsi="TheSans Spire Light"/>
                <w:b/>
                <w:bCs/>
                <w:sz w:val="16"/>
                <w:szCs w:val="16"/>
              </w:rPr>
              <w:fldChar w:fldCharType="end"/>
            </w:r>
          </w:p>
        </w:sdtContent>
      </w:sdt>
    </w:sdtContent>
  </w:sdt>
  <w:p w14:paraId="4254D137" w14:textId="77777777" w:rsidR="00953935" w:rsidRDefault="00953935" w:rsidP="00B260F1">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Sans Spire Light" w:hAnsi="TheSans Spire Light"/>
        <w:sz w:val="16"/>
        <w:szCs w:val="16"/>
      </w:rPr>
      <w:id w:val="-1341394488"/>
      <w:docPartObj>
        <w:docPartGallery w:val="Page Numbers (Bottom of Page)"/>
        <w:docPartUnique/>
      </w:docPartObj>
    </w:sdtPr>
    <w:sdtEndPr/>
    <w:sdtContent>
      <w:sdt>
        <w:sdtPr>
          <w:rPr>
            <w:rFonts w:ascii="TheSans Spire Light" w:hAnsi="TheSans Spire Light"/>
            <w:sz w:val="16"/>
            <w:szCs w:val="16"/>
          </w:rPr>
          <w:id w:val="3794421"/>
          <w:docPartObj>
            <w:docPartGallery w:val="Page Numbers (Top of Page)"/>
            <w:docPartUnique/>
          </w:docPartObj>
        </w:sdtPr>
        <w:sdtEndPr/>
        <w:sdtContent>
          <w:p w14:paraId="3146F725" w14:textId="77777777" w:rsidR="00AB2AC6" w:rsidRPr="00B260F1" w:rsidRDefault="00AB2AC6">
            <w:pPr>
              <w:pStyle w:val="Footer"/>
              <w:jc w:val="right"/>
              <w:rPr>
                <w:rFonts w:ascii="TheSans Spire Light" w:hAnsi="TheSans Spire Light"/>
                <w:sz w:val="16"/>
                <w:szCs w:val="16"/>
              </w:rPr>
            </w:pPr>
            <w:r w:rsidRPr="00B260F1">
              <w:rPr>
                <w:rFonts w:ascii="TheSans Spire Light" w:hAnsi="TheSans Spire Light"/>
                <w:sz w:val="16"/>
                <w:szCs w:val="16"/>
              </w:rPr>
              <w:t xml:space="preserve">Page </w:t>
            </w:r>
            <w:r w:rsidRPr="00B260F1">
              <w:rPr>
                <w:rFonts w:ascii="TheSans Spire Light" w:hAnsi="TheSans Spire Light"/>
                <w:b/>
                <w:bCs/>
                <w:sz w:val="16"/>
                <w:szCs w:val="16"/>
              </w:rPr>
              <w:fldChar w:fldCharType="begin"/>
            </w:r>
            <w:r w:rsidRPr="00B260F1">
              <w:rPr>
                <w:rFonts w:ascii="TheSans Spire Light" w:hAnsi="TheSans Spire Light"/>
                <w:b/>
                <w:bCs/>
                <w:sz w:val="16"/>
                <w:szCs w:val="16"/>
              </w:rPr>
              <w:instrText xml:space="preserve"> PAGE </w:instrText>
            </w:r>
            <w:r w:rsidRPr="00B260F1">
              <w:rPr>
                <w:rFonts w:ascii="TheSans Spire Light" w:hAnsi="TheSans Spire Light"/>
                <w:b/>
                <w:bCs/>
                <w:sz w:val="16"/>
                <w:szCs w:val="16"/>
              </w:rPr>
              <w:fldChar w:fldCharType="separate"/>
            </w:r>
            <w:r>
              <w:rPr>
                <w:rFonts w:ascii="TheSans Spire Light" w:hAnsi="TheSans Spire Light"/>
                <w:b/>
                <w:bCs/>
                <w:noProof/>
                <w:sz w:val="16"/>
                <w:szCs w:val="16"/>
              </w:rPr>
              <w:t>2</w:t>
            </w:r>
            <w:r w:rsidRPr="00B260F1">
              <w:rPr>
                <w:rFonts w:ascii="TheSans Spire Light" w:hAnsi="TheSans Spire Light"/>
                <w:b/>
                <w:bCs/>
                <w:sz w:val="16"/>
                <w:szCs w:val="16"/>
              </w:rPr>
              <w:fldChar w:fldCharType="end"/>
            </w:r>
            <w:r w:rsidRPr="00B260F1">
              <w:rPr>
                <w:rFonts w:ascii="TheSans Spire Light" w:hAnsi="TheSans Spire Light"/>
                <w:sz w:val="16"/>
                <w:szCs w:val="16"/>
              </w:rPr>
              <w:t xml:space="preserve"> of </w:t>
            </w:r>
            <w:r w:rsidRPr="00B260F1">
              <w:rPr>
                <w:rFonts w:ascii="TheSans Spire Light" w:hAnsi="TheSans Spire Light"/>
                <w:b/>
                <w:bCs/>
                <w:sz w:val="16"/>
                <w:szCs w:val="16"/>
              </w:rPr>
              <w:fldChar w:fldCharType="begin"/>
            </w:r>
            <w:r w:rsidRPr="00B260F1">
              <w:rPr>
                <w:rFonts w:ascii="TheSans Spire Light" w:hAnsi="TheSans Spire Light"/>
                <w:b/>
                <w:bCs/>
                <w:sz w:val="16"/>
                <w:szCs w:val="16"/>
              </w:rPr>
              <w:instrText xml:space="preserve"> NUMPAGES  </w:instrText>
            </w:r>
            <w:r w:rsidRPr="00B260F1">
              <w:rPr>
                <w:rFonts w:ascii="TheSans Spire Light" w:hAnsi="TheSans Spire Light"/>
                <w:b/>
                <w:bCs/>
                <w:sz w:val="16"/>
                <w:szCs w:val="16"/>
              </w:rPr>
              <w:fldChar w:fldCharType="separate"/>
            </w:r>
            <w:r>
              <w:rPr>
                <w:rFonts w:ascii="TheSans Spire Light" w:hAnsi="TheSans Spire Light"/>
                <w:b/>
                <w:bCs/>
                <w:noProof/>
                <w:sz w:val="16"/>
                <w:szCs w:val="16"/>
              </w:rPr>
              <w:t>6</w:t>
            </w:r>
            <w:r w:rsidRPr="00B260F1">
              <w:rPr>
                <w:rFonts w:ascii="TheSans Spire Light" w:hAnsi="TheSans Spire Light"/>
                <w:b/>
                <w:bCs/>
                <w:sz w:val="16"/>
                <w:szCs w:val="16"/>
              </w:rPr>
              <w:fldChar w:fldCharType="end"/>
            </w:r>
          </w:p>
        </w:sdtContent>
      </w:sdt>
    </w:sdtContent>
  </w:sdt>
  <w:p w14:paraId="0A840BC1" w14:textId="77777777" w:rsidR="00AB2AC6" w:rsidRDefault="00AB2AC6" w:rsidP="00B260F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93DABE" w14:textId="77777777" w:rsidR="00B16B2F" w:rsidRDefault="00B16B2F" w:rsidP="00B260F1">
      <w:pPr>
        <w:spacing w:after="0" w:line="240" w:lineRule="auto"/>
      </w:pPr>
      <w:r>
        <w:separator/>
      </w:r>
    </w:p>
  </w:footnote>
  <w:footnote w:type="continuationSeparator" w:id="0">
    <w:p w14:paraId="6522F271" w14:textId="77777777" w:rsidR="00B16B2F" w:rsidRDefault="00B16B2F" w:rsidP="00B260F1">
      <w:pPr>
        <w:spacing w:after="0" w:line="240" w:lineRule="auto"/>
      </w:pPr>
      <w:r>
        <w:continuationSeparator/>
      </w:r>
    </w:p>
  </w:footnote>
  <w:footnote w:type="continuationNotice" w:id="1">
    <w:p w14:paraId="23E76535" w14:textId="77777777" w:rsidR="00B16B2F" w:rsidRDefault="00B16B2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D6A17"/>
    <w:multiLevelType w:val="hybridMultilevel"/>
    <w:tmpl w:val="27A40DFA"/>
    <w:lvl w:ilvl="0" w:tplc="0809000F">
      <w:start w:val="1"/>
      <w:numFmt w:val="decimal"/>
      <w:lvlText w:val="%1."/>
      <w:lvlJc w:val="left"/>
      <w:pPr>
        <w:ind w:left="1482" w:hanging="360"/>
      </w:pPr>
    </w:lvl>
    <w:lvl w:ilvl="1" w:tplc="FFFFFFFF" w:tentative="1">
      <w:start w:val="1"/>
      <w:numFmt w:val="lowerLetter"/>
      <w:lvlText w:val="%2."/>
      <w:lvlJc w:val="left"/>
      <w:pPr>
        <w:ind w:left="2202" w:hanging="360"/>
      </w:pPr>
    </w:lvl>
    <w:lvl w:ilvl="2" w:tplc="FFFFFFFF" w:tentative="1">
      <w:start w:val="1"/>
      <w:numFmt w:val="lowerRoman"/>
      <w:lvlText w:val="%3."/>
      <w:lvlJc w:val="right"/>
      <w:pPr>
        <w:ind w:left="2922" w:hanging="180"/>
      </w:pPr>
    </w:lvl>
    <w:lvl w:ilvl="3" w:tplc="FFFFFFFF" w:tentative="1">
      <w:start w:val="1"/>
      <w:numFmt w:val="decimal"/>
      <w:lvlText w:val="%4."/>
      <w:lvlJc w:val="left"/>
      <w:pPr>
        <w:ind w:left="3642" w:hanging="360"/>
      </w:pPr>
    </w:lvl>
    <w:lvl w:ilvl="4" w:tplc="FFFFFFFF" w:tentative="1">
      <w:start w:val="1"/>
      <w:numFmt w:val="lowerLetter"/>
      <w:lvlText w:val="%5."/>
      <w:lvlJc w:val="left"/>
      <w:pPr>
        <w:ind w:left="4362" w:hanging="360"/>
      </w:pPr>
    </w:lvl>
    <w:lvl w:ilvl="5" w:tplc="FFFFFFFF" w:tentative="1">
      <w:start w:val="1"/>
      <w:numFmt w:val="lowerRoman"/>
      <w:lvlText w:val="%6."/>
      <w:lvlJc w:val="right"/>
      <w:pPr>
        <w:ind w:left="5082" w:hanging="180"/>
      </w:pPr>
    </w:lvl>
    <w:lvl w:ilvl="6" w:tplc="FFFFFFFF" w:tentative="1">
      <w:start w:val="1"/>
      <w:numFmt w:val="decimal"/>
      <w:lvlText w:val="%7."/>
      <w:lvlJc w:val="left"/>
      <w:pPr>
        <w:ind w:left="5802" w:hanging="360"/>
      </w:pPr>
    </w:lvl>
    <w:lvl w:ilvl="7" w:tplc="FFFFFFFF" w:tentative="1">
      <w:start w:val="1"/>
      <w:numFmt w:val="lowerLetter"/>
      <w:lvlText w:val="%8."/>
      <w:lvlJc w:val="left"/>
      <w:pPr>
        <w:ind w:left="6522" w:hanging="360"/>
      </w:pPr>
    </w:lvl>
    <w:lvl w:ilvl="8" w:tplc="FFFFFFFF" w:tentative="1">
      <w:start w:val="1"/>
      <w:numFmt w:val="lowerRoman"/>
      <w:lvlText w:val="%9."/>
      <w:lvlJc w:val="right"/>
      <w:pPr>
        <w:ind w:left="7242" w:hanging="180"/>
      </w:pPr>
    </w:lvl>
  </w:abstractNum>
  <w:abstractNum w:abstractNumId="1" w15:restartNumberingAfterBreak="0">
    <w:nsid w:val="08D34991"/>
    <w:multiLevelType w:val="hybridMultilevel"/>
    <w:tmpl w:val="16C84AC4"/>
    <w:lvl w:ilvl="0" w:tplc="08090001">
      <w:start w:val="1"/>
      <w:numFmt w:val="bullet"/>
      <w:lvlText w:val=""/>
      <w:lvlJc w:val="left"/>
      <w:pPr>
        <w:ind w:left="641" w:hanging="360"/>
      </w:pPr>
      <w:rPr>
        <w:rFonts w:ascii="Symbol" w:hAnsi="Symbol" w:hint="default"/>
      </w:rPr>
    </w:lvl>
    <w:lvl w:ilvl="1" w:tplc="08090003" w:tentative="1">
      <w:start w:val="1"/>
      <w:numFmt w:val="bullet"/>
      <w:lvlText w:val="o"/>
      <w:lvlJc w:val="left"/>
      <w:pPr>
        <w:ind w:left="1361" w:hanging="360"/>
      </w:pPr>
      <w:rPr>
        <w:rFonts w:ascii="Courier New" w:hAnsi="Courier New" w:cs="Courier New" w:hint="default"/>
      </w:rPr>
    </w:lvl>
    <w:lvl w:ilvl="2" w:tplc="08090005" w:tentative="1">
      <w:start w:val="1"/>
      <w:numFmt w:val="bullet"/>
      <w:lvlText w:val=""/>
      <w:lvlJc w:val="left"/>
      <w:pPr>
        <w:ind w:left="2081" w:hanging="360"/>
      </w:pPr>
      <w:rPr>
        <w:rFonts w:ascii="Wingdings" w:hAnsi="Wingdings" w:hint="default"/>
      </w:rPr>
    </w:lvl>
    <w:lvl w:ilvl="3" w:tplc="08090001" w:tentative="1">
      <w:start w:val="1"/>
      <w:numFmt w:val="bullet"/>
      <w:lvlText w:val=""/>
      <w:lvlJc w:val="left"/>
      <w:pPr>
        <w:ind w:left="2801" w:hanging="360"/>
      </w:pPr>
      <w:rPr>
        <w:rFonts w:ascii="Symbol" w:hAnsi="Symbol" w:hint="default"/>
      </w:rPr>
    </w:lvl>
    <w:lvl w:ilvl="4" w:tplc="08090003" w:tentative="1">
      <w:start w:val="1"/>
      <w:numFmt w:val="bullet"/>
      <w:lvlText w:val="o"/>
      <w:lvlJc w:val="left"/>
      <w:pPr>
        <w:ind w:left="3521" w:hanging="360"/>
      </w:pPr>
      <w:rPr>
        <w:rFonts w:ascii="Courier New" w:hAnsi="Courier New" w:cs="Courier New" w:hint="default"/>
      </w:rPr>
    </w:lvl>
    <w:lvl w:ilvl="5" w:tplc="08090005" w:tentative="1">
      <w:start w:val="1"/>
      <w:numFmt w:val="bullet"/>
      <w:lvlText w:val=""/>
      <w:lvlJc w:val="left"/>
      <w:pPr>
        <w:ind w:left="4241" w:hanging="360"/>
      </w:pPr>
      <w:rPr>
        <w:rFonts w:ascii="Wingdings" w:hAnsi="Wingdings" w:hint="default"/>
      </w:rPr>
    </w:lvl>
    <w:lvl w:ilvl="6" w:tplc="08090001" w:tentative="1">
      <w:start w:val="1"/>
      <w:numFmt w:val="bullet"/>
      <w:lvlText w:val=""/>
      <w:lvlJc w:val="left"/>
      <w:pPr>
        <w:ind w:left="4961" w:hanging="360"/>
      </w:pPr>
      <w:rPr>
        <w:rFonts w:ascii="Symbol" w:hAnsi="Symbol" w:hint="default"/>
      </w:rPr>
    </w:lvl>
    <w:lvl w:ilvl="7" w:tplc="08090003" w:tentative="1">
      <w:start w:val="1"/>
      <w:numFmt w:val="bullet"/>
      <w:lvlText w:val="o"/>
      <w:lvlJc w:val="left"/>
      <w:pPr>
        <w:ind w:left="5681" w:hanging="360"/>
      </w:pPr>
      <w:rPr>
        <w:rFonts w:ascii="Courier New" w:hAnsi="Courier New" w:cs="Courier New" w:hint="default"/>
      </w:rPr>
    </w:lvl>
    <w:lvl w:ilvl="8" w:tplc="08090005" w:tentative="1">
      <w:start w:val="1"/>
      <w:numFmt w:val="bullet"/>
      <w:lvlText w:val=""/>
      <w:lvlJc w:val="left"/>
      <w:pPr>
        <w:ind w:left="6401" w:hanging="360"/>
      </w:pPr>
      <w:rPr>
        <w:rFonts w:ascii="Wingdings" w:hAnsi="Wingdings" w:hint="default"/>
      </w:rPr>
    </w:lvl>
  </w:abstractNum>
  <w:abstractNum w:abstractNumId="2" w15:restartNumberingAfterBreak="0">
    <w:nsid w:val="18B91C6E"/>
    <w:multiLevelType w:val="multilevel"/>
    <w:tmpl w:val="EFE2790E"/>
    <w:lvl w:ilvl="0">
      <w:start w:val="1"/>
      <w:numFmt w:val="decimal"/>
      <w:pStyle w:val="Heading1"/>
      <w:lvlText w:val="%1.0"/>
      <w:lvlJc w:val="left"/>
      <w:pPr>
        <w:ind w:left="762" w:hanging="567"/>
      </w:pPr>
      <w:rPr>
        <w:rFonts w:asciiTheme="minorHAnsi" w:hAnsiTheme="minorHAnsi" w:cstheme="minorHAnsi" w:hint="default"/>
        <w:lang w:val="en-GB" w:eastAsia="en-US" w:bidi="ar-SA"/>
      </w:rPr>
    </w:lvl>
    <w:lvl w:ilvl="1">
      <w:numFmt w:val="decimal"/>
      <w:pStyle w:val="Heading2"/>
      <w:lvlText w:val="%1.%2"/>
      <w:lvlJc w:val="left"/>
      <w:pPr>
        <w:ind w:left="762" w:hanging="567"/>
      </w:pPr>
      <w:rPr>
        <w:rFonts w:ascii="Calibri" w:eastAsia="Calibri" w:hAnsi="Calibri" w:cs="Calibri" w:hint="default"/>
        <w:b/>
        <w:bCs/>
        <w:i w:val="0"/>
        <w:iCs w:val="0"/>
        <w:color w:val="auto"/>
        <w:spacing w:val="-2"/>
        <w:w w:val="100"/>
        <w:sz w:val="22"/>
        <w:szCs w:val="22"/>
        <w:lang w:val="en-GB" w:eastAsia="en-US" w:bidi="ar-SA"/>
      </w:rPr>
    </w:lvl>
    <w:lvl w:ilvl="2">
      <w:numFmt w:val="bullet"/>
      <w:lvlText w:val="•"/>
      <w:lvlJc w:val="left"/>
      <w:pPr>
        <w:ind w:left="916" w:hanging="155"/>
      </w:pPr>
      <w:rPr>
        <w:rFonts w:ascii="Calibri" w:eastAsia="Calibri" w:hAnsi="Calibri" w:cs="Calibri" w:hint="default"/>
        <w:b w:val="0"/>
        <w:bCs w:val="0"/>
        <w:i w:val="0"/>
        <w:iCs w:val="0"/>
        <w:w w:val="100"/>
        <w:sz w:val="20"/>
        <w:szCs w:val="20"/>
        <w:lang w:val="en-GB" w:eastAsia="en-US" w:bidi="ar-SA"/>
      </w:rPr>
    </w:lvl>
    <w:lvl w:ilvl="3">
      <w:numFmt w:val="bullet"/>
      <w:lvlText w:val="•"/>
      <w:lvlJc w:val="left"/>
      <w:pPr>
        <w:ind w:left="2978" w:hanging="155"/>
      </w:pPr>
      <w:rPr>
        <w:rFonts w:hint="default"/>
        <w:lang w:val="en-GB" w:eastAsia="en-US" w:bidi="ar-SA"/>
      </w:rPr>
    </w:lvl>
    <w:lvl w:ilvl="4">
      <w:numFmt w:val="bullet"/>
      <w:lvlText w:val="•"/>
      <w:lvlJc w:val="left"/>
      <w:pPr>
        <w:ind w:left="4008" w:hanging="155"/>
      </w:pPr>
      <w:rPr>
        <w:rFonts w:hint="default"/>
        <w:lang w:val="en-GB" w:eastAsia="en-US" w:bidi="ar-SA"/>
      </w:rPr>
    </w:lvl>
    <w:lvl w:ilvl="5">
      <w:numFmt w:val="bullet"/>
      <w:lvlText w:val="•"/>
      <w:lvlJc w:val="left"/>
      <w:pPr>
        <w:ind w:left="5037" w:hanging="155"/>
      </w:pPr>
      <w:rPr>
        <w:rFonts w:hint="default"/>
        <w:lang w:val="en-GB" w:eastAsia="en-US" w:bidi="ar-SA"/>
      </w:rPr>
    </w:lvl>
    <w:lvl w:ilvl="6">
      <w:numFmt w:val="bullet"/>
      <w:lvlText w:val="•"/>
      <w:lvlJc w:val="left"/>
      <w:pPr>
        <w:ind w:left="6066" w:hanging="155"/>
      </w:pPr>
      <w:rPr>
        <w:rFonts w:hint="default"/>
        <w:lang w:val="en-GB" w:eastAsia="en-US" w:bidi="ar-SA"/>
      </w:rPr>
    </w:lvl>
    <w:lvl w:ilvl="7">
      <w:numFmt w:val="bullet"/>
      <w:lvlText w:val="•"/>
      <w:lvlJc w:val="left"/>
      <w:pPr>
        <w:ind w:left="7096" w:hanging="155"/>
      </w:pPr>
      <w:rPr>
        <w:rFonts w:hint="default"/>
        <w:lang w:val="en-GB" w:eastAsia="en-US" w:bidi="ar-SA"/>
      </w:rPr>
    </w:lvl>
    <w:lvl w:ilvl="8">
      <w:numFmt w:val="bullet"/>
      <w:lvlText w:val="•"/>
      <w:lvlJc w:val="left"/>
      <w:pPr>
        <w:ind w:left="8125" w:hanging="155"/>
      </w:pPr>
      <w:rPr>
        <w:rFonts w:hint="default"/>
        <w:lang w:val="en-GB" w:eastAsia="en-US" w:bidi="ar-SA"/>
      </w:rPr>
    </w:lvl>
  </w:abstractNum>
  <w:abstractNum w:abstractNumId="3" w15:restartNumberingAfterBreak="0">
    <w:nsid w:val="1C603F65"/>
    <w:multiLevelType w:val="hybridMultilevel"/>
    <w:tmpl w:val="03927700"/>
    <w:lvl w:ilvl="0" w:tplc="9D88F55A">
      <w:start w:val="1"/>
      <w:numFmt w:val="bullet"/>
      <w:lvlText w:val=""/>
      <w:lvlJc w:val="left"/>
      <w:pPr>
        <w:ind w:left="641" w:hanging="360"/>
      </w:pPr>
      <w:rPr>
        <w:rFonts w:ascii="Symbol" w:hAnsi="Symbol" w:hint="default"/>
        <w:color w:val="008080"/>
      </w:rPr>
    </w:lvl>
    <w:lvl w:ilvl="1" w:tplc="08090003" w:tentative="1">
      <w:start w:val="1"/>
      <w:numFmt w:val="bullet"/>
      <w:lvlText w:val="o"/>
      <w:lvlJc w:val="left"/>
      <w:pPr>
        <w:ind w:left="1361" w:hanging="360"/>
      </w:pPr>
      <w:rPr>
        <w:rFonts w:ascii="Courier New" w:hAnsi="Courier New" w:cs="Courier New" w:hint="default"/>
      </w:rPr>
    </w:lvl>
    <w:lvl w:ilvl="2" w:tplc="08090005" w:tentative="1">
      <w:start w:val="1"/>
      <w:numFmt w:val="bullet"/>
      <w:lvlText w:val=""/>
      <w:lvlJc w:val="left"/>
      <w:pPr>
        <w:ind w:left="2081" w:hanging="360"/>
      </w:pPr>
      <w:rPr>
        <w:rFonts w:ascii="Wingdings" w:hAnsi="Wingdings" w:hint="default"/>
      </w:rPr>
    </w:lvl>
    <w:lvl w:ilvl="3" w:tplc="08090001" w:tentative="1">
      <w:start w:val="1"/>
      <w:numFmt w:val="bullet"/>
      <w:lvlText w:val=""/>
      <w:lvlJc w:val="left"/>
      <w:pPr>
        <w:ind w:left="2801" w:hanging="360"/>
      </w:pPr>
      <w:rPr>
        <w:rFonts w:ascii="Symbol" w:hAnsi="Symbol" w:hint="default"/>
      </w:rPr>
    </w:lvl>
    <w:lvl w:ilvl="4" w:tplc="08090003" w:tentative="1">
      <w:start w:val="1"/>
      <w:numFmt w:val="bullet"/>
      <w:lvlText w:val="o"/>
      <w:lvlJc w:val="left"/>
      <w:pPr>
        <w:ind w:left="3521" w:hanging="360"/>
      </w:pPr>
      <w:rPr>
        <w:rFonts w:ascii="Courier New" w:hAnsi="Courier New" w:cs="Courier New" w:hint="default"/>
      </w:rPr>
    </w:lvl>
    <w:lvl w:ilvl="5" w:tplc="08090005" w:tentative="1">
      <w:start w:val="1"/>
      <w:numFmt w:val="bullet"/>
      <w:lvlText w:val=""/>
      <w:lvlJc w:val="left"/>
      <w:pPr>
        <w:ind w:left="4241" w:hanging="360"/>
      </w:pPr>
      <w:rPr>
        <w:rFonts w:ascii="Wingdings" w:hAnsi="Wingdings" w:hint="default"/>
      </w:rPr>
    </w:lvl>
    <w:lvl w:ilvl="6" w:tplc="08090001" w:tentative="1">
      <w:start w:val="1"/>
      <w:numFmt w:val="bullet"/>
      <w:lvlText w:val=""/>
      <w:lvlJc w:val="left"/>
      <w:pPr>
        <w:ind w:left="4961" w:hanging="360"/>
      </w:pPr>
      <w:rPr>
        <w:rFonts w:ascii="Symbol" w:hAnsi="Symbol" w:hint="default"/>
      </w:rPr>
    </w:lvl>
    <w:lvl w:ilvl="7" w:tplc="08090003" w:tentative="1">
      <w:start w:val="1"/>
      <w:numFmt w:val="bullet"/>
      <w:lvlText w:val="o"/>
      <w:lvlJc w:val="left"/>
      <w:pPr>
        <w:ind w:left="5681" w:hanging="360"/>
      </w:pPr>
      <w:rPr>
        <w:rFonts w:ascii="Courier New" w:hAnsi="Courier New" w:cs="Courier New" w:hint="default"/>
      </w:rPr>
    </w:lvl>
    <w:lvl w:ilvl="8" w:tplc="08090005" w:tentative="1">
      <w:start w:val="1"/>
      <w:numFmt w:val="bullet"/>
      <w:lvlText w:val=""/>
      <w:lvlJc w:val="left"/>
      <w:pPr>
        <w:ind w:left="6401" w:hanging="360"/>
      </w:pPr>
      <w:rPr>
        <w:rFonts w:ascii="Wingdings" w:hAnsi="Wingdings" w:hint="default"/>
      </w:rPr>
    </w:lvl>
  </w:abstractNum>
  <w:abstractNum w:abstractNumId="4" w15:restartNumberingAfterBreak="0">
    <w:nsid w:val="234A137A"/>
    <w:multiLevelType w:val="hybridMultilevel"/>
    <w:tmpl w:val="A89846A0"/>
    <w:lvl w:ilvl="0" w:tplc="0809000F">
      <w:start w:val="1"/>
      <w:numFmt w:val="decimal"/>
      <w:lvlText w:val="%1."/>
      <w:lvlJc w:val="left"/>
      <w:pPr>
        <w:ind w:left="915" w:hanging="360"/>
      </w:pPr>
      <w:rPr>
        <w:rFonts w:hint="default"/>
        <w:color w:val="auto"/>
      </w:rPr>
    </w:lvl>
    <w:lvl w:ilvl="1" w:tplc="08090019" w:tentative="1">
      <w:start w:val="1"/>
      <w:numFmt w:val="lowerLetter"/>
      <w:lvlText w:val="%2."/>
      <w:lvlJc w:val="left"/>
      <w:pPr>
        <w:ind w:left="1635" w:hanging="360"/>
      </w:pPr>
    </w:lvl>
    <w:lvl w:ilvl="2" w:tplc="0809001B" w:tentative="1">
      <w:start w:val="1"/>
      <w:numFmt w:val="lowerRoman"/>
      <w:lvlText w:val="%3."/>
      <w:lvlJc w:val="right"/>
      <w:pPr>
        <w:ind w:left="2355" w:hanging="180"/>
      </w:pPr>
    </w:lvl>
    <w:lvl w:ilvl="3" w:tplc="0809000F" w:tentative="1">
      <w:start w:val="1"/>
      <w:numFmt w:val="decimal"/>
      <w:lvlText w:val="%4."/>
      <w:lvlJc w:val="left"/>
      <w:pPr>
        <w:ind w:left="3075" w:hanging="360"/>
      </w:pPr>
    </w:lvl>
    <w:lvl w:ilvl="4" w:tplc="08090019" w:tentative="1">
      <w:start w:val="1"/>
      <w:numFmt w:val="lowerLetter"/>
      <w:lvlText w:val="%5."/>
      <w:lvlJc w:val="left"/>
      <w:pPr>
        <w:ind w:left="3795" w:hanging="360"/>
      </w:pPr>
    </w:lvl>
    <w:lvl w:ilvl="5" w:tplc="0809001B" w:tentative="1">
      <w:start w:val="1"/>
      <w:numFmt w:val="lowerRoman"/>
      <w:lvlText w:val="%6."/>
      <w:lvlJc w:val="right"/>
      <w:pPr>
        <w:ind w:left="4515" w:hanging="180"/>
      </w:pPr>
    </w:lvl>
    <w:lvl w:ilvl="6" w:tplc="0809000F" w:tentative="1">
      <w:start w:val="1"/>
      <w:numFmt w:val="decimal"/>
      <w:lvlText w:val="%7."/>
      <w:lvlJc w:val="left"/>
      <w:pPr>
        <w:ind w:left="5235" w:hanging="360"/>
      </w:pPr>
    </w:lvl>
    <w:lvl w:ilvl="7" w:tplc="08090019" w:tentative="1">
      <w:start w:val="1"/>
      <w:numFmt w:val="lowerLetter"/>
      <w:lvlText w:val="%8."/>
      <w:lvlJc w:val="left"/>
      <w:pPr>
        <w:ind w:left="5955" w:hanging="360"/>
      </w:pPr>
    </w:lvl>
    <w:lvl w:ilvl="8" w:tplc="0809001B" w:tentative="1">
      <w:start w:val="1"/>
      <w:numFmt w:val="lowerRoman"/>
      <w:lvlText w:val="%9."/>
      <w:lvlJc w:val="right"/>
      <w:pPr>
        <w:ind w:left="6675" w:hanging="180"/>
      </w:pPr>
    </w:lvl>
  </w:abstractNum>
  <w:abstractNum w:abstractNumId="5" w15:restartNumberingAfterBreak="0">
    <w:nsid w:val="28B56549"/>
    <w:multiLevelType w:val="hybridMultilevel"/>
    <w:tmpl w:val="9C82B310"/>
    <w:lvl w:ilvl="0" w:tplc="08090001">
      <w:start w:val="1"/>
      <w:numFmt w:val="bullet"/>
      <w:lvlText w:val=""/>
      <w:lvlJc w:val="left"/>
      <w:pPr>
        <w:ind w:left="1122" w:hanging="360"/>
      </w:pPr>
      <w:rPr>
        <w:rFonts w:ascii="Symbol" w:hAnsi="Symbol" w:hint="default"/>
      </w:rPr>
    </w:lvl>
    <w:lvl w:ilvl="1" w:tplc="08090003">
      <w:start w:val="1"/>
      <w:numFmt w:val="bullet"/>
      <w:lvlText w:val="o"/>
      <w:lvlJc w:val="left"/>
      <w:pPr>
        <w:ind w:left="1842" w:hanging="360"/>
      </w:pPr>
      <w:rPr>
        <w:rFonts w:ascii="Courier New" w:hAnsi="Courier New" w:cs="Courier New" w:hint="default"/>
      </w:rPr>
    </w:lvl>
    <w:lvl w:ilvl="2" w:tplc="08090005">
      <w:start w:val="1"/>
      <w:numFmt w:val="bullet"/>
      <w:lvlText w:val=""/>
      <w:lvlJc w:val="left"/>
      <w:pPr>
        <w:ind w:left="2562" w:hanging="360"/>
      </w:pPr>
      <w:rPr>
        <w:rFonts w:ascii="Wingdings" w:hAnsi="Wingdings" w:hint="default"/>
      </w:rPr>
    </w:lvl>
    <w:lvl w:ilvl="3" w:tplc="08090001" w:tentative="1">
      <w:start w:val="1"/>
      <w:numFmt w:val="bullet"/>
      <w:lvlText w:val=""/>
      <w:lvlJc w:val="left"/>
      <w:pPr>
        <w:ind w:left="3282" w:hanging="360"/>
      </w:pPr>
      <w:rPr>
        <w:rFonts w:ascii="Symbol" w:hAnsi="Symbol" w:hint="default"/>
      </w:rPr>
    </w:lvl>
    <w:lvl w:ilvl="4" w:tplc="08090003" w:tentative="1">
      <w:start w:val="1"/>
      <w:numFmt w:val="bullet"/>
      <w:lvlText w:val="o"/>
      <w:lvlJc w:val="left"/>
      <w:pPr>
        <w:ind w:left="4002" w:hanging="360"/>
      </w:pPr>
      <w:rPr>
        <w:rFonts w:ascii="Courier New" w:hAnsi="Courier New" w:cs="Courier New" w:hint="default"/>
      </w:rPr>
    </w:lvl>
    <w:lvl w:ilvl="5" w:tplc="08090005" w:tentative="1">
      <w:start w:val="1"/>
      <w:numFmt w:val="bullet"/>
      <w:lvlText w:val=""/>
      <w:lvlJc w:val="left"/>
      <w:pPr>
        <w:ind w:left="4722" w:hanging="360"/>
      </w:pPr>
      <w:rPr>
        <w:rFonts w:ascii="Wingdings" w:hAnsi="Wingdings" w:hint="default"/>
      </w:rPr>
    </w:lvl>
    <w:lvl w:ilvl="6" w:tplc="08090001" w:tentative="1">
      <w:start w:val="1"/>
      <w:numFmt w:val="bullet"/>
      <w:lvlText w:val=""/>
      <w:lvlJc w:val="left"/>
      <w:pPr>
        <w:ind w:left="5442" w:hanging="360"/>
      </w:pPr>
      <w:rPr>
        <w:rFonts w:ascii="Symbol" w:hAnsi="Symbol" w:hint="default"/>
      </w:rPr>
    </w:lvl>
    <w:lvl w:ilvl="7" w:tplc="08090003" w:tentative="1">
      <w:start w:val="1"/>
      <w:numFmt w:val="bullet"/>
      <w:lvlText w:val="o"/>
      <w:lvlJc w:val="left"/>
      <w:pPr>
        <w:ind w:left="6162" w:hanging="360"/>
      </w:pPr>
      <w:rPr>
        <w:rFonts w:ascii="Courier New" w:hAnsi="Courier New" w:cs="Courier New" w:hint="default"/>
      </w:rPr>
    </w:lvl>
    <w:lvl w:ilvl="8" w:tplc="08090005" w:tentative="1">
      <w:start w:val="1"/>
      <w:numFmt w:val="bullet"/>
      <w:lvlText w:val=""/>
      <w:lvlJc w:val="left"/>
      <w:pPr>
        <w:ind w:left="6882" w:hanging="360"/>
      </w:pPr>
      <w:rPr>
        <w:rFonts w:ascii="Wingdings" w:hAnsi="Wingdings" w:hint="default"/>
      </w:rPr>
    </w:lvl>
  </w:abstractNum>
  <w:abstractNum w:abstractNumId="6" w15:restartNumberingAfterBreak="0">
    <w:nsid w:val="29F309C2"/>
    <w:multiLevelType w:val="hybridMultilevel"/>
    <w:tmpl w:val="16C0477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A9001C3"/>
    <w:multiLevelType w:val="hybridMultilevel"/>
    <w:tmpl w:val="AAD4FFF2"/>
    <w:lvl w:ilvl="0" w:tplc="7B5CDAC0">
      <w:numFmt w:val="bullet"/>
      <w:lvlText w:val=""/>
      <w:lvlJc w:val="left"/>
      <w:pPr>
        <w:ind w:left="1800" w:hanging="360"/>
      </w:pPr>
      <w:rPr>
        <w:rFonts w:ascii="Symbol" w:eastAsia="Symbol" w:hAnsi="Symbol" w:cs="Symbol" w:hint="default"/>
        <w:color w:val="auto"/>
        <w:w w:val="100"/>
        <w:sz w:val="24"/>
        <w:szCs w:val="24"/>
        <w:lang w:val="en-US" w:eastAsia="en-US" w:bidi="ar-SA"/>
      </w:rPr>
    </w:lvl>
    <w:lvl w:ilvl="1" w:tplc="FB9EA3CA">
      <w:numFmt w:val="bullet"/>
      <w:lvlText w:val="•"/>
      <w:lvlJc w:val="left"/>
      <w:pPr>
        <w:ind w:left="2736" w:hanging="360"/>
      </w:pPr>
      <w:rPr>
        <w:rFonts w:hint="default"/>
        <w:lang w:val="en-US" w:eastAsia="en-US" w:bidi="ar-SA"/>
      </w:rPr>
    </w:lvl>
    <w:lvl w:ilvl="2" w:tplc="20B8AFCE">
      <w:numFmt w:val="bullet"/>
      <w:lvlText w:val="•"/>
      <w:lvlJc w:val="left"/>
      <w:pPr>
        <w:ind w:left="3673" w:hanging="360"/>
      </w:pPr>
      <w:rPr>
        <w:rFonts w:hint="default"/>
        <w:lang w:val="en-US" w:eastAsia="en-US" w:bidi="ar-SA"/>
      </w:rPr>
    </w:lvl>
    <w:lvl w:ilvl="3" w:tplc="05E8E5F4">
      <w:numFmt w:val="bullet"/>
      <w:lvlText w:val="•"/>
      <w:lvlJc w:val="left"/>
      <w:pPr>
        <w:ind w:left="4609" w:hanging="360"/>
      </w:pPr>
      <w:rPr>
        <w:rFonts w:hint="default"/>
        <w:lang w:val="en-US" w:eastAsia="en-US" w:bidi="ar-SA"/>
      </w:rPr>
    </w:lvl>
    <w:lvl w:ilvl="4" w:tplc="6A4ECC36">
      <w:numFmt w:val="bullet"/>
      <w:lvlText w:val="•"/>
      <w:lvlJc w:val="left"/>
      <w:pPr>
        <w:ind w:left="5546" w:hanging="360"/>
      </w:pPr>
      <w:rPr>
        <w:rFonts w:hint="default"/>
        <w:lang w:val="en-US" w:eastAsia="en-US" w:bidi="ar-SA"/>
      </w:rPr>
    </w:lvl>
    <w:lvl w:ilvl="5" w:tplc="B3960574">
      <w:numFmt w:val="bullet"/>
      <w:lvlText w:val="•"/>
      <w:lvlJc w:val="left"/>
      <w:pPr>
        <w:ind w:left="6483" w:hanging="360"/>
      </w:pPr>
      <w:rPr>
        <w:rFonts w:hint="default"/>
        <w:lang w:val="en-US" w:eastAsia="en-US" w:bidi="ar-SA"/>
      </w:rPr>
    </w:lvl>
    <w:lvl w:ilvl="6" w:tplc="B22A87A6">
      <w:numFmt w:val="bullet"/>
      <w:lvlText w:val="•"/>
      <w:lvlJc w:val="left"/>
      <w:pPr>
        <w:ind w:left="7419" w:hanging="360"/>
      </w:pPr>
      <w:rPr>
        <w:rFonts w:hint="default"/>
        <w:lang w:val="en-US" w:eastAsia="en-US" w:bidi="ar-SA"/>
      </w:rPr>
    </w:lvl>
    <w:lvl w:ilvl="7" w:tplc="7F1CBE10">
      <w:numFmt w:val="bullet"/>
      <w:lvlText w:val="•"/>
      <w:lvlJc w:val="left"/>
      <w:pPr>
        <w:ind w:left="8356" w:hanging="360"/>
      </w:pPr>
      <w:rPr>
        <w:rFonts w:hint="default"/>
        <w:lang w:val="en-US" w:eastAsia="en-US" w:bidi="ar-SA"/>
      </w:rPr>
    </w:lvl>
    <w:lvl w:ilvl="8" w:tplc="0BF8918E">
      <w:numFmt w:val="bullet"/>
      <w:lvlText w:val="•"/>
      <w:lvlJc w:val="left"/>
      <w:pPr>
        <w:ind w:left="9293" w:hanging="360"/>
      </w:pPr>
      <w:rPr>
        <w:rFonts w:hint="default"/>
        <w:lang w:val="en-US" w:eastAsia="en-US" w:bidi="ar-SA"/>
      </w:rPr>
    </w:lvl>
  </w:abstractNum>
  <w:abstractNum w:abstractNumId="8" w15:restartNumberingAfterBreak="0">
    <w:nsid w:val="39436D0F"/>
    <w:multiLevelType w:val="hybridMultilevel"/>
    <w:tmpl w:val="3DE871FC"/>
    <w:lvl w:ilvl="0" w:tplc="08090001">
      <w:start w:val="1"/>
      <w:numFmt w:val="bullet"/>
      <w:lvlText w:val=""/>
      <w:lvlJc w:val="left"/>
      <w:pPr>
        <w:ind w:left="1122" w:hanging="360"/>
      </w:pPr>
      <w:rPr>
        <w:rFonts w:ascii="Symbol" w:hAnsi="Symbol" w:hint="default"/>
      </w:rPr>
    </w:lvl>
    <w:lvl w:ilvl="1" w:tplc="08090003" w:tentative="1">
      <w:start w:val="1"/>
      <w:numFmt w:val="bullet"/>
      <w:lvlText w:val="o"/>
      <w:lvlJc w:val="left"/>
      <w:pPr>
        <w:ind w:left="1842" w:hanging="360"/>
      </w:pPr>
      <w:rPr>
        <w:rFonts w:ascii="Courier New" w:hAnsi="Courier New" w:cs="Courier New" w:hint="default"/>
      </w:rPr>
    </w:lvl>
    <w:lvl w:ilvl="2" w:tplc="08090005" w:tentative="1">
      <w:start w:val="1"/>
      <w:numFmt w:val="bullet"/>
      <w:lvlText w:val=""/>
      <w:lvlJc w:val="left"/>
      <w:pPr>
        <w:ind w:left="2562" w:hanging="360"/>
      </w:pPr>
      <w:rPr>
        <w:rFonts w:ascii="Wingdings" w:hAnsi="Wingdings" w:hint="default"/>
      </w:rPr>
    </w:lvl>
    <w:lvl w:ilvl="3" w:tplc="08090001" w:tentative="1">
      <w:start w:val="1"/>
      <w:numFmt w:val="bullet"/>
      <w:lvlText w:val=""/>
      <w:lvlJc w:val="left"/>
      <w:pPr>
        <w:ind w:left="3282" w:hanging="360"/>
      </w:pPr>
      <w:rPr>
        <w:rFonts w:ascii="Symbol" w:hAnsi="Symbol" w:hint="default"/>
      </w:rPr>
    </w:lvl>
    <w:lvl w:ilvl="4" w:tplc="08090003" w:tentative="1">
      <w:start w:val="1"/>
      <w:numFmt w:val="bullet"/>
      <w:lvlText w:val="o"/>
      <w:lvlJc w:val="left"/>
      <w:pPr>
        <w:ind w:left="4002" w:hanging="360"/>
      </w:pPr>
      <w:rPr>
        <w:rFonts w:ascii="Courier New" w:hAnsi="Courier New" w:cs="Courier New" w:hint="default"/>
      </w:rPr>
    </w:lvl>
    <w:lvl w:ilvl="5" w:tplc="08090005" w:tentative="1">
      <w:start w:val="1"/>
      <w:numFmt w:val="bullet"/>
      <w:lvlText w:val=""/>
      <w:lvlJc w:val="left"/>
      <w:pPr>
        <w:ind w:left="4722" w:hanging="360"/>
      </w:pPr>
      <w:rPr>
        <w:rFonts w:ascii="Wingdings" w:hAnsi="Wingdings" w:hint="default"/>
      </w:rPr>
    </w:lvl>
    <w:lvl w:ilvl="6" w:tplc="08090001" w:tentative="1">
      <w:start w:val="1"/>
      <w:numFmt w:val="bullet"/>
      <w:lvlText w:val=""/>
      <w:lvlJc w:val="left"/>
      <w:pPr>
        <w:ind w:left="5442" w:hanging="360"/>
      </w:pPr>
      <w:rPr>
        <w:rFonts w:ascii="Symbol" w:hAnsi="Symbol" w:hint="default"/>
      </w:rPr>
    </w:lvl>
    <w:lvl w:ilvl="7" w:tplc="08090003" w:tentative="1">
      <w:start w:val="1"/>
      <w:numFmt w:val="bullet"/>
      <w:lvlText w:val="o"/>
      <w:lvlJc w:val="left"/>
      <w:pPr>
        <w:ind w:left="6162" w:hanging="360"/>
      </w:pPr>
      <w:rPr>
        <w:rFonts w:ascii="Courier New" w:hAnsi="Courier New" w:cs="Courier New" w:hint="default"/>
      </w:rPr>
    </w:lvl>
    <w:lvl w:ilvl="8" w:tplc="08090005" w:tentative="1">
      <w:start w:val="1"/>
      <w:numFmt w:val="bullet"/>
      <w:lvlText w:val=""/>
      <w:lvlJc w:val="left"/>
      <w:pPr>
        <w:ind w:left="6882" w:hanging="360"/>
      </w:pPr>
      <w:rPr>
        <w:rFonts w:ascii="Wingdings" w:hAnsi="Wingdings" w:hint="default"/>
      </w:rPr>
    </w:lvl>
  </w:abstractNum>
  <w:abstractNum w:abstractNumId="9" w15:restartNumberingAfterBreak="0">
    <w:nsid w:val="3C9135C1"/>
    <w:multiLevelType w:val="hybridMultilevel"/>
    <w:tmpl w:val="D3086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974DFB"/>
    <w:multiLevelType w:val="hybridMultilevel"/>
    <w:tmpl w:val="42A2CED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9656555"/>
    <w:multiLevelType w:val="hybridMultilevel"/>
    <w:tmpl w:val="6614830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CD34A30"/>
    <w:multiLevelType w:val="multilevel"/>
    <w:tmpl w:val="2E8059EE"/>
    <w:lvl w:ilvl="0">
      <w:start w:val="1"/>
      <w:numFmt w:val="decimal"/>
      <w:lvlText w:val="%1.0"/>
      <w:lvlJc w:val="left"/>
      <w:pPr>
        <w:ind w:left="762" w:hanging="567"/>
      </w:pPr>
      <w:rPr>
        <w:rFonts w:asciiTheme="minorHAnsi" w:hAnsiTheme="minorHAnsi" w:cstheme="minorHAnsi" w:hint="default"/>
        <w:lang w:val="en-GB" w:eastAsia="en-US" w:bidi="ar-SA"/>
      </w:rPr>
    </w:lvl>
    <w:lvl w:ilvl="1">
      <w:start w:val="1"/>
      <w:numFmt w:val="bullet"/>
      <w:lvlText w:val=""/>
      <w:lvlJc w:val="left"/>
      <w:pPr>
        <w:ind w:left="555" w:hanging="360"/>
      </w:pPr>
      <w:rPr>
        <w:rFonts w:ascii="Symbol" w:hAnsi="Symbol" w:hint="default"/>
      </w:rPr>
    </w:lvl>
    <w:lvl w:ilvl="2">
      <w:numFmt w:val="bullet"/>
      <w:lvlText w:val="•"/>
      <w:lvlJc w:val="left"/>
      <w:pPr>
        <w:ind w:left="916" w:hanging="155"/>
      </w:pPr>
      <w:rPr>
        <w:rFonts w:ascii="Calibri" w:eastAsia="Calibri" w:hAnsi="Calibri" w:cs="Calibri" w:hint="default"/>
        <w:b w:val="0"/>
        <w:bCs w:val="0"/>
        <w:i w:val="0"/>
        <w:iCs w:val="0"/>
        <w:w w:val="100"/>
        <w:sz w:val="20"/>
        <w:szCs w:val="20"/>
        <w:lang w:val="en-GB" w:eastAsia="en-US" w:bidi="ar-SA"/>
      </w:rPr>
    </w:lvl>
    <w:lvl w:ilvl="3">
      <w:numFmt w:val="bullet"/>
      <w:lvlText w:val="•"/>
      <w:lvlJc w:val="left"/>
      <w:pPr>
        <w:ind w:left="2978" w:hanging="155"/>
      </w:pPr>
      <w:rPr>
        <w:rFonts w:hint="default"/>
        <w:lang w:val="en-GB" w:eastAsia="en-US" w:bidi="ar-SA"/>
      </w:rPr>
    </w:lvl>
    <w:lvl w:ilvl="4">
      <w:numFmt w:val="bullet"/>
      <w:lvlText w:val="•"/>
      <w:lvlJc w:val="left"/>
      <w:pPr>
        <w:ind w:left="4008" w:hanging="155"/>
      </w:pPr>
      <w:rPr>
        <w:rFonts w:hint="default"/>
        <w:lang w:val="en-GB" w:eastAsia="en-US" w:bidi="ar-SA"/>
      </w:rPr>
    </w:lvl>
    <w:lvl w:ilvl="5">
      <w:numFmt w:val="bullet"/>
      <w:lvlText w:val="•"/>
      <w:lvlJc w:val="left"/>
      <w:pPr>
        <w:ind w:left="5037" w:hanging="155"/>
      </w:pPr>
      <w:rPr>
        <w:rFonts w:hint="default"/>
        <w:lang w:val="en-GB" w:eastAsia="en-US" w:bidi="ar-SA"/>
      </w:rPr>
    </w:lvl>
    <w:lvl w:ilvl="6">
      <w:numFmt w:val="bullet"/>
      <w:lvlText w:val="•"/>
      <w:lvlJc w:val="left"/>
      <w:pPr>
        <w:ind w:left="6066" w:hanging="155"/>
      </w:pPr>
      <w:rPr>
        <w:rFonts w:hint="default"/>
        <w:lang w:val="en-GB" w:eastAsia="en-US" w:bidi="ar-SA"/>
      </w:rPr>
    </w:lvl>
    <w:lvl w:ilvl="7">
      <w:numFmt w:val="bullet"/>
      <w:lvlText w:val="•"/>
      <w:lvlJc w:val="left"/>
      <w:pPr>
        <w:ind w:left="7096" w:hanging="155"/>
      </w:pPr>
      <w:rPr>
        <w:rFonts w:hint="default"/>
        <w:lang w:val="en-GB" w:eastAsia="en-US" w:bidi="ar-SA"/>
      </w:rPr>
    </w:lvl>
    <w:lvl w:ilvl="8">
      <w:numFmt w:val="bullet"/>
      <w:lvlText w:val="•"/>
      <w:lvlJc w:val="left"/>
      <w:pPr>
        <w:ind w:left="8125" w:hanging="155"/>
      </w:pPr>
      <w:rPr>
        <w:rFonts w:hint="default"/>
        <w:lang w:val="en-GB" w:eastAsia="en-US" w:bidi="ar-SA"/>
      </w:rPr>
    </w:lvl>
  </w:abstractNum>
  <w:abstractNum w:abstractNumId="13" w15:restartNumberingAfterBreak="0">
    <w:nsid w:val="5EC16BBA"/>
    <w:multiLevelType w:val="hybridMultilevel"/>
    <w:tmpl w:val="2B027856"/>
    <w:lvl w:ilvl="0" w:tplc="08090001">
      <w:start w:val="1"/>
      <w:numFmt w:val="bullet"/>
      <w:lvlText w:val=""/>
      <w:lvlJc w:val="left"/>
      <w:pPr>
        <w:ind w:left="1481" w:hanging="360"/>
      </w:pPr>
      <w:rPr>
        <w:rFonts w:ascii="Symbol" w:hAnsi="Symbol" w:hint="default"/>
      </w:rPr>
    </w:lvl>
    <w:lvl w:ilvl="1" w:tplc="08090003" w:tentative="1">
      <w:start w:val="1"/>
      <w:numFmt w:val="bullet"/>
      <w:lvlText w:val="o"/>
      <w:lvlJc w:val="left"/>
      <w:pPr>
        <w:ind w:left="2201" w:hanging="360"/>
      </w:pPr>
      <w:rPr>
        <w:rFonts w:ascii="Courier New" w:hAnsi="Courier New" w:cs="Courier New" w:hint="default"/>
      </w:rPr>
    </w:lvl>
    <w:lvl w:ilvl="2" w:tplc="08090005" w:tentative="1">
      <w:start w:val="1"/>
      <w:numFmt w:val="bullet"/>
      <w:lvlText w:val=""/>
      <w:lvlJc w:val="left"/>
      <w:pPr>
        <w:ind w:left="2921" w:hanging="360"/>
      </w:pPr>
      <w:rPr>
        <w:rFonts w:ascii="Wingdings" w:hAnsi="Wingdings" w:hint="default"/>
      </w:rPr>
    </w:lvl>
    <w:lvl w:ilvl="3" w:tplc="08090001" w:tentative="1">
      <w:start w:val="1"/>
      <w:numFmt w:val="bullet"/>
      <w:lvlText w:val=""/>
      <w:lvlJc w:val="left"/>
      <w:pPr>
        <w:ind w:left="3641" w:hanging="360"/>
      </w:pPr>
      <w:rPr>
        <w:rFonts w:ascii="Symbol" w:hAnsi="Symbol" w:hint="default"/>
      </w:rPr>
    </w:lvl>
    <w:lvl w:ilvl="4" w:tplc="08090003" w:tentative="1">
      <w:start w:val="1"/>
      <w:numFmt w:val="bullet"/>
      <w:lvlText w:val="o"/>
      <w:lvlJc w:val="left"/>
      <w:pPr>
        <w:ind w:left="4361" w:hanging="360"/>
      </w:pPr>
      <w:rPr>
        <w:rFonts w:ascii="Courier New" w:hAnsi="Courier New" w:cs="Courier New" w:hint="default"/>
      </w:rPr>
    </w:lvl>
    <w:lvl w:ilvl="5" w:tplc="08090005" w:tentative="1">
      <w:start w:val="1"/>
      <w:numFmt w:val="bullet"/>
      <w:lvlText w:val=""/>
      <w:lvlJc w:val="left"/>
      <w:pPr>
        <w:ind w:left="5081" w:hanging="360"/>
      </w:pPr>
      <w:rPr>
        <w:rFonts w:ascii="Wingdings" w:hAnsi="Wingdings" w:hint="default"/>
      </w:rPr>
    </w:lvl>
    <w:lvl w:ilvl="6" w:tplc="08090001" w:tentative="1">
      <w:start w:val="1"/>
      <w:numFmt w:val="bullet"/>
      <w:lvlText w:val=""/>
      <w:lvlJc w:val="left"/>
      <w:pPr>
        <w:ind w:left="5801" w:hanging="360"/>
      </w:pPr>
      <w:rPr>
        <w:rFonts w:ascii="Symbol" w:hAnsi="Symbol" w:hint="default"/>
      </w:rPr>
    </w:lvl>
    <w:lvl w:ilvl="7" w:tplc="08090003" w:tentative="1">
      <w:start w:val="1"/>
      <w:numFmt w:val="bullet"/>
      <w:lvlText w:val="o"/>
      <w:lvlJc w:val="left"/>
      <w:pPr>
        <w:ind w:left="6521" w:hanging="360"/>
      </w:pPr>
      <w:rPr>
        <w:rFonts w:ascii="Courier New" w:hAnsi="Courier New" w:cs="Courier New" w:hint="default"/>
      </w:rPr>
    </w:lvl>
    <w:lvl w:ilvl="8" w:tplc="08090005" w:tentative="1">
      <w:start w:val="1"/>
      <w:numFmt w:val="bullet"/>
      <w:lvlText w:val=""/>
      <w:lvlJc w:val="left"/>
      <w:pPr>
        <w:ind w:left="7241" w:hanging="360"/>
      </w:pPr>
      <w:rPr>
        <w:rFonts w:ascii="Wingdings" w:hAnsi="Wingdings" w:hint="default"/>
      </w:rPr>
    </w:lvl>
  </w:abstractNum>
  <w:abstractNum w:abstractNumId="14" w15:restartNumberingAfterBreak="0">
    <w:nsid w:val="65537CFD"/>
    <w:multiLevelType w:val="hybridMultilevel"/>
    <w:tmpl w:val="965002D0"/>
    <w:lvl w:ilvl="0" w:tplc="FFFFFFFF">
      <w:start w:val="1"/>
      <w:numFmt w:val="decimal"/>
      <w:lvlText w:val="%1"/>
      <w:lvlJc w:val="left"/>
      <w:pPr>
        <w:ind w:left="1482" w:hanging="360"/>
      </w:pPr>
      <w:rPr>
        <w:rFonts w:hint="default"/>
      </w:rPr>
    </w:lvl>
    <w:lvl w:ilvl="1" w:tplc="FFFFFFFF" w:tentative="1">
      <w:start w:val="1"/>
      <w:numFmt w:val="lowerLetter"/>
      <w:lvlText w:val="%2."/>
      <w:lvlJc w:val="left"/>
      <w:pPr>
        <w:ind w:left="318" w:hanging="360"/>
      </w:pPr>
    </w:lvl>
    <w:lvl w:ilvl="2" w:tplc="FFFFFFFF" w:tentative="1">
      <w:start w:val="1"/>
      <w:numFmt w:val="lowerRoman"/>
      <w:lvlText w:val="%3."/>
      <w:lvlJc w:val="right"/>
      <w:pPr>
        <w:ind w:left="1038" w:hanging="180"/>
      </w:pPr>
    </w:lvl>
    <w:lvl w:ilvl="3" w:tplc="FFFFFFFF" w:tentative="1">
      <w:start w:val="1"/>
      <w:numFmt w:val="decimal"/>
      <w:lvlText w:val="%4."/>
      <w:lvlJc w:val="left"/>
      <w:pPr>
        <w:ind w:left="1758" w:hanging="360"/>
      </w:pPr>
    </w:lvl>
    <w:lvl w:ilvl="4" w:tplc="FFFFFFFF" w:tentative="1">
      <w:start w:val="1"/>
      <w:numFmt w:val="lowerLetter"/>
      <w:lvlText w:val="%5."/>
      <w:lvlJc w:val="left"/>
      <w:pPr>
        <w:ind w:left="2478" w:hanging="360"/>
      </w:pPr>
    </w:lvl>
    <w:lvl w:ilvl="5" w:tplc="FFFFFFFF" w:tentative="1">
      <w:start w:val="1"/>
      <w:numFmt w:val="lowerRoman"/>
      <w:lvlText w:val="%6."/>
      <w:lvlJc w:val="right"/>
      <w:pPr>
        <w:ind w:left="3198" w:hanging="180"/>
      </w:pPr>
    </w:lvl>
    <w:lvl w:ilvl="6" w:tplc="FFFFFFFF" w:tentative="1">
      <w:start w:val="1"/>
      <w:numFmt w:val="decimal"/>
      <w:lvlText w:val="%7."/>
      <w:lvlJc w:val="left"/>
      <w:pPr>
        <w:ind w:left="3918" w:hanging="360"/>
      </w:pPr>
    </w:lvl>
    <w:lvl w:ilvl="7" w:tplc="FFFFFFFF" w:tentative="1">
      <w:start w:val="1"/>
      <w:numFmt w:val="lowerLetter"/>
      <w:lvlText w:val="%8."/>
      <w:lvlJc w:val="left"/>
      <w:pPr>
        <w:ind w:left="4638" w:hanging="360"/>
      </w:pPr>
    </w:lvl>
    <w:lvl w:ilvl="8" w:tplc="FFFFFFFF" w:tentative="1">
      <w:start w:val="1"/>
      <w:numFmt w:val="lowerRoman"/>
      <w:lvlText w:val="%9."/>
      <w:lvlJc w:val="right"/>
      <w:pPr>
        <w:ind w:left="5358" w:hanging="180"/>
      </w:pPr>
    </w:lvl>
  </w:abstractNum>
  <w:abstractNum w:abstractNumId="15" w15:restartNumberingAfterBreak="0">
    <w:nsid w:val="670D19AC"/>
    <w:multiLevelType w:val="hybridMultilevel"/>
    <w:tmpl w:val="5142AA6E"/>
    <w:lvl w:ilvl="0" w:tplc="08090001">
      <w:start w:val="1"/>
      <w:numFmt w:val="bullet"/>
      <w:lvlText w:val=""/>
      <w:lvlJc w:val="left"/>
      <w:pPr>
        <w:ind w:left="1122" w:hanging="360"/>
      </w:pPr>
      <w:rPr>
        <w:rFonts w:ascii="Symbol" w:hAnsi="Symbol" w:hint="default"/>
      </w:rPr>
    </w:lvl>
    <w:lvl w:ilvl="1" w:tplc="08090003" w:tentative="1">
      <w:start w:val="1"/>
      <w:numFmt w:val="bullet"/>
      <w:lvlText w:val="o"/>
      <w:lvlJc w:val="left"/>
      <w:pPr>
        <w:ind w:left="1842" w:hanging="360"/>
      </w:pPr>
      <w:rPr>
        <w:rFonts w:ascii="Courier New" w:hAnsi="Courier New" w:cs="Courier New" w:hint="default"/>
      </w:rPr>
    </w:lvl>
    <w:lvl w:ilvl="2" w:tplc="08090005" w:tentative="1">
      <w:start w:val="1"/>
      <w:numFmt w:val="bullet"/>
      <w:lvlText w:val=""/>
      <w:lvlJc w:val="left"/>
      <w:pPr>
        <w:ind w:left="2562" w:hanging="360"/>
      </w:pPr>
      <w:rPr>
        <w:rFonts w:ascii="Wingdings" w:hAnsi="Wingdings" w:hint="default"/>
      </w:rPr>
    </w:lvl>
    <w:lvl w:ilvl="3" w:tplc="08090001" w:tentative="1">
      <w:start w:val="1"/>
      <w:numFmt w:val="bullet"/>
      <w:lvlText w:val=""/>
      <w:lvlJc w:val="left"/>
      <w:pPr>
        <w:ind w:left="3282" w:hanging="360"/>
      </w:pPr>
      <w:rPr>
        <w:rFonts w:ascii="Symbol" w:hAnsi="Symbol" w:hint="default"/>
      </w:rPr>
    </w:lvl>
    <w:lvl w:ilvl="4" w:tplc="08090003" w:tentative="1">
      <w:start w:val="1"/>
      <w:numFmt w:val="bullet"/>
      <w:lvlText w:val="o"/>
      <w:lvlJc w:val="left"/>
      <w:pPr>
        <w:ind w:left="4002" w:hanging="360"/>
      </w:pPr>
      <w:rPr>
        <w:rFonts w:ascii="Courier New" w:hAnsi="Courier New" w:cs="Courier New" w:hint="default"/>
      </w:rPr>
    </w:lvl>
    <w:lvl w:ilvl="5" w:tplc="08090005" w:tentative="1">
      <w:start w:val="1"/>
      <w:numFmt w:val="bullet"/>
      <w:lvlText w:val=""/>
      <w:lvlJc w:val="left"/>
      <w:pPr>
        <w:ind w:left="4722" w:hanging="360"/>
      </w:pPr>
      <w:rPr>
        <w:rFonts w:ascii="Wingdings" w:hAnsi="Wingdings" w:hint="default"/>
      </w:rPr>
    </w:lvl>
    <w:lvl w:ilvl="6" w:tplc="08090001" w:tentative="1">
      <w:start w:val="1"/>
      <w:numFmt w:val="bullet"/>
      <w:lvlText w:val=""/>
      <w:lvlJc w:val="left"/>
      <w:pPr>
        <w:ind w:left="5442" w:hanging="360"/>
      </w:pPr>
      <w:rPr>
        <w:rFonts w:ascii="Symbol" w:hAnsi="Symbol" w:hint="default"/>
      </w:rPr>
    </w:lvl>
    <w:lvl w:ilvl="7" w:tplc="08090003" w:tentative="1">
      <w:start w:val="1"/>
      <w:numFmt w:val="bullet"/>
      <w:lvlText w:val="o"/>
      <w:lvlJc w:val="left"/>
      <w:pPr>
        <w:ind w:left="6162" w:hanging="360"/>
      </w:pPr>
      <w:rPr>
        <w:rFonts w:ascii="Courier New" w:hAnsi="Courier New" w:cs="Courier New" w:hint="default"/>
      </w:rPr>
    </w:lvl>
    <w:lvl w:ilvl="8" w:tplc="08090005" w:tentative="1">
      <w:start w:val="1"/>
      <w:numFmt w:val="bullet"/>
      <w:lvlText w:val=""/>
      <w:lvlJc w:val="left"/>
      <w:pPr>
        <w:ind w:left="6882" w:hanging="360"/>
      </w:pPr>
      <w:rPr>
        <w:rFonts w:ascii="Wingdings" w:hAnsi="Wingdings" w:hint="default"/>
      </w:rPr>
    </w:lvl>
  </w:abstractNum>
  <w:abstractNum w:abstractNumId="16" w15:restartNumberingAfterBreak="0">
    <w:nsid w:val="736E238D"/>
    <w:multiLevelType w:val="hybridMultilevel"/>
    <w:tmpl w:val="525AA320"/>
    <w:lvl w:ilvl="0" w:tplc="08090001">
      <w:start w:val="1"/>
      <w:numFmt w:val="bullet"/>
      <w:lvlText w:val=""/>
      <w:lvlJc w:val="left"/>
      <w:pPr>
        <w:ind w:left="1481" w:hanging="360"/>
      </w:pPr>
      <w:rPr>
        <w:rFonts w:ascii="Symbol" w:hAnsi="Symbol" w:hint="default"/>
      </w:rPr>
    </w:lvl>
    <w:lvl w:ilvl="1" w:tplc="08090003" w:tentative="1">
      <w:start w:val="1"/>
      <w:numFmt w:val="bullet"/>
      <w:lvlText w:val="o"/>
      <w:lvlJc w:val="left"/>
      <w:pPr>
        <w:ind w:left="2201" w:hanging="360"/>
      </w:pPr>
      <w:rPr>
        <w:rFonts w:ascii="Courier New" w:hAnsi="Courier New" w:cs="Courier New" w:hint="default"/>
      </w:rPr>
    </w:lvl>
    <w:lvl w:ilvl="2" w:tplc="08090005" w:tentative="1">
      <w:start w:val="1"/>
      <w:numFmt w:val="bullet"/>
      <w:lvlText w:val=""/>
      <w:lvlJc w:val="left"/>
      <w:pPr>
        <w:ind w:left="2921" w:hanging="360"/>
      </w:pPr>
      <w:rPr>
        <w:rFonts w:ascii="Wingdings" w:hAnsi="Wingdings" w:hint="default"/>
      </w:rPr>
    </w:lvl>
    <w:lvl w:ilvl="3" w:tplc="08090001" w:tentative="1">
      <w:start w:val="1"/>
      <w:numFmt w:val="bullet"/>
      <w:lvlText w:val=""/>
      <w:lvlJc w:val="left"/>
      <w:pPr>
        <w:ind w:left="3641" w:hanging="360"/>
      </w:pPr>
      <w:rPr>
        <w:rFonts w:ascii="Symbol" w:hAnsi="Symbol" w:hint="default"/>
      </w:rPr>
    </w:lvl>
    <w:lvl w:ilvl="4" w:tplc="08090003" w:tentative="1">
      <w:start w:val="1"/>
      <w:numFmt w:val="bullet"/>
      <w:lvlText w:val="o"/>
      <w:lvlJc w:val="left"/>
      <w:pPr>
        <w:ind w:left="4361" w:hanging="360"/>
      </w:pPr>
      <w:rPr>
        <w:rFonts w:ascii="Courier New" w:hAnsi="Courier New" w:cs="Courier New" w:hint="default"/>
      </w:rPr>
    </w:lvl>
    <w:lvl w:ilvl="5" w:tplc="08090005" w:tentative="1">
      <w:start w:val="1"/>
      <w:numFmt w:val="bullet"/>
      <w:lvlText w:val=""/>
      <w:lvlJc w:val="left"/>
      <w:pPr>
        <w:ind w:left="5081" w:hanging="360"/>
      </w:pPr>
      <w:rPr>
        <w:rFonts w:ascii="Wingdings" w:hAnsi="Wingdings" w:hint="default"/>
      </w:rPr>
    </w:lvl>
    <w:lvl w:ilvl="6" w:tplc="08090001" w:tentative="1">
      <w:start w:val="1"/>
      <w:numFmt w:val="bullet"/>
      <w:lvlText w:val=""/>
      <w:lvlJc w:val="left"/>
      <w:pPr>
        <w:ind w:left="5801" w:hanging="360"/>
      </w:pPr>
      <w:rPr>
        <w:rFonts w:ascii="Symbol" w:hAnsi="Symbol" w:hint="default"/>
      </w:rPr>
    </w:lvl>
    <w:lvl w:ilvl="7" w:tplc="08090003" w:tentative="1">
      <w:start w:val="1"/>
      <w:numFmt w:val="bullet"/>
      <w:lvlText w:val="o"/>
      <w:lvlJc w:val="left"/>
      <w:pPr>
        <w:ind w:left="6521" w:hanging="360"/>
      </w:pPr>
      <w:rPr>
        <w:rFonts w:ascii="Courier New" w:hAnsi="Courier New" w:cs="Courier New" w:hint="default"/>
      </w:rPr>
    </w:lvl>
    <w:lvl w:ilvl="8" w:tplc="08090005" w:tentative="1">
      <w:start w:val="1"/>
      <w:numFmt w:val="bullet"/>
      <w:lvlText w:val=""/>
      <w:lvlJc w:val="left"/>
      <w:pPr>
        <w:ind w:left="7241" w:hanging="360"/>
      </w:pPr>
      <w:rPr>
        <w:rFonts w:ascii="Wingdings" w:hAnsi="Wingdings" w:hint="default"/>
      </w:rPr>
    </w:lvl>
  </w:abstractNum>
  <w:abstractNum w:abstractNumId="17" w15:restartNumberingAfterBreak="0">
    <w:nsid w:val="770F5BD4"/>
    <w:multiLevelType w:val="hybridMultilevel"/>
    <w:tmpl w:val="2E7A8010"/>
    <w:lvl w:ilvl="0" w:tplc="830277C6">
      <w:start w:val="37"/>
      <w:numFmt w:val="bullet"/>
      <w:lvlText w:val="-"/>
      <w:lvlJc w:val="left"/>
      <w:pPr>
        <w:ind w:left="720" w:hanging="360"/>
      </w:pPr>
      <w:rPr>
        <w:rFonts w:ascii="Calibri Light" w:eastAsiaTheme="minorHAnsi" w:hAnsi="Calibri Light" w:cs="Calibri Light"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AE272E"/>
    <w:multiLevelType w:val="hybridMultilevel"/>
    <w:tmpl w:val="965002D0"/>
    <w:lvl w:ilvl="0" w:tplc="439419C6">
      <w:start w:val="1"/>
      <w:numFmt w:val="decimal"/>
      <w:lvlText w:val="%1"/>
      <w:lvlJc w:val="left"/>
      <w:pPr>
        <w:ind w:left="1482" w:hanging="360"/>
      </w:pPr>
      <w:rPr>
        <w:rFonts w:hint="default"/>
      </w:rPr>
    </w:lvl>
    <w:lvl w:ilvl="1" w:tplc="08090019" w:tentative="1">
      <w:start w:val="1"/>
      <w:numFmt w:val="lowerLetter"/>
      <w:lvlText w:val="%2."/>
      <w:lvlJc w:val="left"/>
      <w:pPr>
        <w:ind w:left="318" w:hanging="360"/>
      </w:pPr>
    </w:lvl>
    <w:lvl w:ilvl="2" w:tplc="0809001B" w:tentative="1">
      <w:start w:val="1"/>
      <w:numFmt w:val="lowerRoman"/>
      <w:lvlText w:val="%3."/>
      <w:lvlJc w:val="right"/>
      <w:pPr>
        <w:ind w:left="1038" w:hanging="180"/>
      </w:pPr>
    </w:lvl>
    <w:lvl w:ilvl="3" w:tplc="0809000F" w:tentative="1">
      <w:start w:val="1"/>
      <w:numFmt w:val="decimal"/>
      <w:lvlText w:val="%4."/>
      <w:lvlJc w:val="left"/>
      <w:pPr>
        <w:ind w:left="1758" w:hanging="360"/>
      </w:pPr>
    </w:lvl>
    <w:lvl w:ilvl="4" w:tplc="08090019" w:tentative="1">
      <w:start w:val="1"/>
      <w:numFmt w:val="lowerLetter"/>
      <w:lvlText w:val="%5."/>
      <w:lvlJc w:val="left"/>
      <w:pPr>
        <w:ind w:left="2478" w:hanging="360"/>
      </w:pPr>
    </w:lvl>
    <w:lvl w:ilvl="5" w:tplc="0809001B" w:tentative="1">
      <w:start w:val="1"/>
      <w:numFmt w:val="lowerRoman"/>
      <w:lvlText w:val="%6."/>
      <w:lvlJc w:val="right"/>
      <w:pPr>
        <w:ind w:left="3198" w:hanging="180"/>
      </w:pPr>
    </w:lvl>
    <w:lvl w:ilvl="6" w:tplc="0809000F" w:tentative="1">
      <w:start w:val="1"/>
      <w:numFmt w:val="decimal"/>
      <w:lvlText w:val="%7."/>
      <w:lvlJc w:val="left"/>
      <w:pPr>
        <w:ind w:left="3918" w:hanging="360"/>
      </w:pPr>
    </w:lvl>
    <w:lvl w:ilvl="7" w:tplc="08090019" w:tentative="1">
      <w:start w:val="1"/>
      <w:numFmt w:val="lowerLetter"/>
      <w:lvlText w:val="%8."/>
      <w:lvlJc w:val="left"/>
      <w:pPr>
        <w:ind w:left="4638" w:hanging="360"/>
      </w:pPr>
    </w:lvl>
    <w:lvl w:ilvl="8" w:tplc="0809001B" w:tentative="1">
      <w:start w:val="1"/>
      <w:numFmt w:val="lowerRoman"/>
      <w:lvlText w:val="%9."/>
      <w:lvlJc w:val="right"/>
      <w:pPr>
        <w:ind w:left="5358" w:hanging="180"/>
      </w:pPr>
    </w:lvl>
  </w:abstractNum>
  <w:abstractNum w:abstractNumId="19" w15:restartNumberingAfterBreak="0">
    <w:nsid w:val="7C411F10"/>
    <w:multiLevelType w:val="hybridMultilevel"/>
    <w:tmpl w:val="CB425F0E"/>
    <w:lvl w:ilvl="0" w:tplc="00341A5C">
      <w:start w:val="1"/>
      <w:numFmt w:val="decimal"/>
      <w:lvlText w:val="%1."/>
      <w:lvlJc w:val="left"/>
      <w:pPr>
        <w:ind w:left="915" w:hanging="360"/>
      </w:pPr>
      <w:rPr>
        <w:rFonts w:hint="default"/>
        <w:b w:val="0"/>
        <w:bCs w:val="0"/>
        <w:color w:val="auto"/>
      </w:rPr>
    </w:lvl>
    <w:lvl w:ilvl="1" w:tplc="FFFFFFFF" w:tentative="1">
      <w:start w:val="1"/>
      <w:numFmt w:val="lowerLetter"/>
      <w:lvlText w:val="%2."/>
      <w:lvlJc w:val="left"/>
      <w:pPr>
        <w:ind w:left="1635" w:hanging="360"/>
      </w:pPr>
    </w:lvl>
    <w:lvl w:ilvl="2" w:tplc="FFFFFFFF" w:tentative="1">
      <w:start w:val="1"/>
      <w:numFmt w:val="lowerRoman"/>
      <w:lvlText w:val="%3."/>
      <w:lvlJc w:val="right"/>
      <w:pPr>
        <w:ind w:left="2355" w:hanging="180"/>
      </w:pPr>
    </w:lvl>
    <w:lvl w:ilvl="3" w:tplc="FFFFFFFF" w:tentative="1">
      <w:start w:val="1"/>
      <w:numFmt w:val="decimal"/>
      <w:lvlText w:val="%4."/>
      <w:lvlJc w:val="left"/>
      <w:pPr>
        <w:ind w:left="3075" w:hanging="360"/>
      </w:pPr>
    </w:lvl>
    <w:lvl w:ilvl="4" w:tplc="FFFFFFFF" w:tentative="1">
      <w:start w:val="1"/>
      <w:numFmt w:val="lowerLetter"/>
      <w:lvlText w:val="%5."/>
      <w:lvlJc w:val="left"/>
      <w:pPr>
        <w:ind w:left="3795" w:hanging="360"/>
      </w:pPr>
    </w:lvl>
    <w:lvl w:ilvl="5" w:tplc="FFFFFFFF" w:tentative="1">
      <w:start w:val="1"/>
      <w:numFmt w:val="lowerRoman"/>
      <w:lvlText w:val="%6."/>
      <w:lvlJc w:val="right"/>
      <w:pPr>
        <w:ind w:left="4515" w:hanging="180"/>
      </w:pPr>
    </w:lvl>
    <w:lvl w:ilvl="6" w:tplc="FFFFFFFF" w:tentative="1">
      <w:start w:val="1"/>
      <w:numFmt w:val="decimal"/>
      <w:lvlText w:val="%7."/>
      <w:lvlJc w:val="left"/>
      <w:pPr>
        <w:ind w:left="5235" w:hanging="360"/>
      </w:pPr>
    </w:lvl>
    <w:lvl w:ilvl="7" w:tplc="FFFFFFFF" w:tentative="1">
      <w:start w:val="1"/>
      <w:numFmt w:val="lowerLetter"/>
      <w:lvlText w:val="%8."/>
      <w:lvlJc w:val="left"/>
      <w:pPr>
        <w:ind w:left="5955" w:hanging="360"/>
      </w:pPr>
    </w:lvl>
    <w:lvl w:ilvl="8" w:tplc="FFFFFFFF" w:tentative="1">
      <w:start w:val="1"/>
      <w:numFmt w:val="lowerRoman"/>
      <w:lvlText w:val="%9."/>
      <w:lvlJc w:val="right"/>
      <w:pPr>
        <w:ind w:left="6675" w:hanging="180"/>
      </w:pPr>
    </w:lvl>
  </w:abstractNum>
  <w:num w:numId="1" w16cid:durableId="533428244">
    <w:abstractNumId w:val="1"/>
  </w:num>
  <w:num w:numId="2" w16cid:durableId="1701933515">
    <w:abstractNumId w:val="9"/>
  </w:num>
  <w:num w:numId="3" w16cid:durableId="858541158">
    <w:abstractNumId w:val="3"/>
  </w:num>
  <w:num w:numId="4" w16cid:durableId="1977248771">
    <w:abstractNumId w:val="2"/>
    <w:lvlOverride w:ilvl="0">
      <w:startOverride w:val="6"/>
    </w:lvlOverride>
    <w:lvlOverride w:ilvl="1">
      <w:startOverride w:val="1"/>
    </w:lvlOverride>
    <w:lvlOverride w:ilvl="2"/>
    <w:lvlOverride w:ilvl="3"/>
    <w:lvlOverride w:ilvl="4"/>
    <w:lvlOverride w:ilvl="5"/>
    <w:lvlOverride w:ilvl="6"/>
    <w:lvlOverride w:ilvl="7"/>
    <w:lvlOverride w:ilvl="8"/>
  </w:num>
  <w:num w:numId="5" w16cid:durableId="1898928361">
    <w:abstractNumId w:val="6"/>
  </w:num>
  <w:num w:numId="6" w16cid:durableId="971210401">
    <w:abstractNumId w:val="2"/>
    <w:lvlOverride w:ilvl="0">
      <w:startOverride w:val="2"/>
    </w:lvlOverride>
    <w:lvlOverride w:ilvl="1">
      <w:startOverride w:val="1"/>
    </w:lvlOverride>
    <w:lvlOverride w:ilvl="2"/>
    <w:lvlOverride w:ilvl="3"/>
    <w:lvlOverride w:ilvl="4"/>
    <w:lvlOverride w:ilvl="5"/>
    <w:lvlOverride w:ilvl="6"/>
    <w:lvlOverride w:ilvl="7"/>
    <w:lvlOverride w:ilvl="8"/>
  </w:num>
  <w:num w:numId="7" w16cid:durableId="1161312532">
    <w:abstractNumId w:val="17"/>
  </w:num>
  <w:num w:numId="8" w16cid:durableId="846677557">
    <w:abstractNumId w:val="2"/>
    <w:lvlOverride w:ilvl="0">
      <w:startOverride w:val="6"/>
    </w:lvlOverride>
    <w:lvlOverride w:ilvl="1">
      <w:startOverride w:val="1"/>
    </w:lvlOverride>
    <w:lvlOverride w:ilvl="2"/>
    <w:lvlOverride w:ilvl="3"/>
    <w:lvlOverride w:ilvl="4"/>
    <w:lvlOverride w:ilvl="5"/>
    <w:lvlOverride w:ilvl="6"/>
    <w:lvlOverride w:ilvl="7"/>
    <w:lvlOverride w:ilvl="8"/>
  </w:num>
  <w:num w:numId="9" w16cid:durableId="405346506">
    <w:abstractNumId w:val="2"/>
    <w:lvlOverride w:ilvl="0">
      <w:startOverride w:val="8"/>
    </w:lvlOverride>
    <w:lvlOverride w:ilvl="1">
      <w:startOverride w:val="1"/>
    </w:lvlOverride>
    <w:lvlOverride w:ilvl="2"/>
    <w:lvlOverride w:ilvl="3"/>
    <w:lvlOverride w:ilvl="4"/>
    <w:lvlOverride w:ilvl="5"/>
    <w:lvlOverride w:ilvl="6"/>
    <w:lvlOverride w:ilvl="7"/>
    <w:lvlOverride w:ilvl="8"/>
  </w:num>
  <w:num w:numId="10" w16cid:durableId="928269285">
    <w:abstractNumId w:val="15"/>
  </w:num>
  <w:num w:numId="11" w16cid:durableId="1197814456">
    <w:abstractNumId w:val="2"/>
    <w:lvlOverride w:ilvl="0">
      <w:startOverride w:val="9"/>
    </w:lvlOverride>
    <w:lvlOverride w:ilvl="1">
      <w:startOverride w:val="1"/>
    </w:lvlOverride>
    <w:lvlOverride w:ilvl="2"/>
    <w:lvlOverride w:ilvl="3"/>
    <w:lvlOverride w:ilvl="4"/>
    <w:lvlOverride w:ilvl="5"/>
    <w:lvlOverride w:ilvl="6"/>
    <w:lvlOverride w:ilvl="7"/>
    <w:lvlOverride w:ilvl="8"/>
  </w:num>
  <w:num w:numId="12" w16cid:durableId="1374043501">
    <w:abstractNumId w:val="2"/>
    <w:lvlOverride w:ilvl="0">
      <w:startOverride w:val="10"/>
    </w:lvlOverride>
    <w:lvlOverride w:ilvl="1">
      <w:startOverride w:val="1"/>
    </w:lvlOverride>
    <w:lvlOverride w:ilvl="2"/>
    <w:lvlOverride w:ilvl="3"/>
    <w:lvlOverride w:ilvl="4"/>
    <w:lvlOverride w:ilvl="5"/>
    <w:lvlOverride w:ilvl="6"/>
    <w:lvlOverride w:ilvl="7"/>
    <w:lvlOverride w:ilvl="8"/>
  </w:num>
  <w:num w:numId="13" w16cid:durableId="1283851247">
    <w:abstractNumId w:val="12"/>
  </w:num>
  <w:num w:numId="14" w16cid:durableId="848521649">
    <w:abstractNumId w:val="2"/>
    <w:lvlOverride w:ilvl="0">
      <w:startOverride w:val="12"/>
    </w:lvlOverride>
    <w:lvlOverride w:ilvl="1">
      <w:startOverride w:val="1"/>
    </w:lvlOverride>
    <w:lvlOverride w:ilvl="2"/>
    <w:lvlOverride w:ilvl="3"/>
    <w:lvlOverride w:ilvl="4"/>
    <w:lvlOverride w:ilvl="5"/>
    <w:lvlOverride w:ilvl="6"/>
    <w:lvlOverride w:ilvl="7"/>
    <w:lvlOverride w:ilvl="8"/>
  </w:num>
  <w:num w:numId="15" w16cid:durableId="1308627409">
    <w:abstractNumId w:val="2"/>
    <w:lvlOverride w:ilvl="0">
      <w:startOverride w:val="13"/>
    </w:lvlOverride>
    <w:lvlOverride w:ilvl="1">
      <w:startOverride w:val="1"/>
    </w:lvlOverride>
    <w:lvlOverride w:ilvl="2"/>
    <w:lvlOverride w:ilvl="3"/>
    <w:lvlOverride w:ilvl="4"/>
    <w:lvlOverride w:ilvl="5"/>
    <w:lvlOverride w:ilvl="6"/>
    <w:lvlOverride w:ilvl="7"/>
    <w:lvlOverride w:ilvl="8"/>
  </w:num>
  <w:num w:numId="16" w16cid:durableId="826943338">
    <w:abstractNumId w:val="7"/>
  </w:num>
  <w:num w:numId="17" w16cid:durableId="1719087346">
    <w:abstractNumId w:val="16"/>
  </w:num>
  <w:num w:numId="18" w16cid:durableId="1559122360">
    <w:abstractNumId w:val="10"/>
  </w:num>
  <w:num w:numId="19" w16cid:durableId="102966780">
    <w:abstractNumId w:val="13"/>
  </w:num>
  <w:num w:numId="20" w16cid:durableId="1428650633">
    <w:abstractNumId w:val="4"/>
  </w:num>
  <w:num w:numId="21" w16cid:durableId="906767914">
    <w:abstractNumId w:val="2"/>
    <w:lvlOverride w:ilvl="0">
      <w:startOverride w:val="12"/>
    </w:lvlOverride>
    <w:lvlOverride w:ilvl="1">
      <w:startOverride w:val="1"/>
    </w:lvlOverride>
    <w:lvlOverride w:ilvl="2"/>
    <w:lvlOverride w:ilvl="3"/>
    <w:lvlOverride w:ilvl="4"/>
    <w:lvlOverride w:ilvl="5"/>
    <w:lvlOverride w:ilvl="6"/>
    <w:lvlOverride w:ilvl="7"/>
    <w:lvlOverride w:ilvl="8"/>
  </w:num>
  <w:num w:numId="22" w16cid:durableId="1793590986">
    <w:abstractNumId w:val="19"/>
  </w:num>
  <w:num w:numId="23" w16cid:durableId="777676647">
    <w:abstractNumId w:val="2"/>
    <w:lvlOverride w:ilvl="0">
      <w:startOverride w:val="12"/>
    </w:lvlOverride>
    <w:lvlOverride w:ilvl="1">
      <w:startOverride w:val="1"/>
    </w:lvlOverride>
    <w:lvlOverride w:ilvl="2"/>
    <w:lvlOverride w:ilvl="3"/>
    <w:lvlOverride w:ilvl="4"/>
    <w:lvlOverride w:ilvl="5"/>
    <w:lvlOverride w:ilvl="6"/>
    <w:lvlOverride w:ilvl="7"/>
    <w:lvlOverride w:ilvl="8"/>
  </w:num>
  <w:num w:numId="24" w16cid:durableId="582689384">
    <w:abstractNumId w:val="5"/>
  </w:num>
  <w:num w:numId="25" w16cid:durableId="1249078512">
    <w:abstractNumId w:val="0"/>
  </w:num>
  <w:num w:numId="26" w16cid:durableId="1030227505">
    <w:abstractNumId w:val="8"/>
  </w:num>
  <w:num w:numId="27" w16cid:durableId="144929581">
    <w:abstractNumId w:val="11"/>
  </w:num>
  <w:num w:numId="28" w16cid:durableId="17857208">
    <w:abstractNumId w:val="2"/>
  </w:num>
  <w:num w:numId="29" w16cid:durableId="95367107">
    <w:abstractNumId w:val="18"/>
  </w:num>
  <w:num w:numId="30" w16cid:durableId="1250120705">
    <w:abstractNumId w:val="14"/>
  </w:num>
  <w:num w:numId="31" w16cid:durableId="947657884">
    <w:abstractNumId w:val="2"/>
    <w:lvlOverride w:ilvl="0">
      <w:startOverride w:val="5"/>
    </w:lvlOverride>
    <w:lvlOverride w:ilvl="1">
      <w:startOverride w:val="1"/>
    </w:lvlOverride>
    <w:lvlOverride w:ilvl="2"/>
    <w:lvlOverride w:ilvl="3"/>
    <w:lvlOverride w:ilvl="4"/>
    <w:lvlOverride w:ilvl="5"/>
    <w:lvlOverride w:ilvl="6"/>
    <w:lvlOverride w:ilvl="7"/>
    <w:lvlOverride w:ilvl="8"/>
  </w:num>
  <w:num w:numId="32" w16cid:durableId="434179530">
    <w:abstractNumId w:val="2"/>
    <w:lvlOverride w:ilvl="0">
      <w:startOverride w:val="14"/>
    </w:lvlOverride>
    <w:lvlOverride w:ilvl="1">
      <w:startOverride w:val="1"/>
    </w:lvlOverride>
    <w:lvlOverride w:ilvl="2"/>
    <w:lvlOverride w:ilvl="3"/>
    <w:lvlOverride w:ilvl="4"/>
    <w:lvlOverride w:ilvl="5"/>
    <w:lvlOverride w:ilvl="6"/>
    <w:lvlOverride w:ilvl="7"/>
    <w:lvlOverride w:ilv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EAB"/>
    <w:rsid w:val="000005B2"/>
    <w:rsid w:val="00003790"/>
    <w:rsid w:val="000076DB"/>
    <w:rsid w:val="00012119"/>
    <w:rsid w:val="0001374C"/>
    <w:rsid w:val="000269E6"/>
    <w:rsid w:val="000315D8"/>
    <w:rsid w:val="00047B13"/>
    <w:rsid w:val="00055D16"/>
    <w:rsid w:val="00067958"/>
    <w:rsid w:val="00071118"/>
    <w:rsid w:val="000743F7"/>
    <w:rsid w:val="00074C73"/>
    <w:rsid w:val="00074EAB"/>
    <w:rsid w:val="00080301"/>
    <w:rsid w:val="00081B0B"/>
    <w:rsid w:val="000823D7"/>
    <w:rsid w:val="00084335"/>
    <w:rsid w:val="0008440B"/>
    <w:rsid w:val="000876B8"/>
    <w:rsid w:val="000876ED"/>
    <w:rsid w:val="00093310"/>
    <w:rsid w:val="000948C8"/>
    <w:rsid w:val="00097D03"/>
    <w:rsid w:val="00097EA6"/>
    <w:rsid w:val="000A3B50"/>
    <w:rsid w:val="000A7D09"/>
    <w:rsid w:val="000B018D"/>
    <w:rsid w:val="000B15F8"/>
    <w:rsid w:val="000B4A67"/>
    <w:rsid w:val="000C51BD"/>
    <w:rsid w:val="000E1F8B"/>
    <w:rsid w:val="000E4047"/>
    <w:rsid w:val="000E5256"/>
    <w:rsid w:val="000E6E14"/>
    <w:rsid w:val="000F10C1"/>
    <w:rsid w:val="001016E1"/>
    <w:rsid w:val="00103844"/>
    <w:rsid w:val="00105695"/>
    <w:rsid w:val="0010786E"/>
    <w:rsid w:val="001118BB"/>
    <w:rsid w:val="00113D46"/>
    <w:rsid w:val="001156E3"/>
    <w:rsid w:val="00120134"/>
    <w:rsid w:val="00120E04"/>
    <w:rsid w:val="00123B25"/>
    <w:rsid w:val="00123FB8"/>
    <w:rsid w:val="00142CD0"/>
    <w:rsid w:val="00144537"/>
    <w:rsid w:val="00151AEB"/>
    <w:rsid w:val="00152F72"/>
    <w:rsid w:val="00153A48"/>
    <w:rsid w:val="00162DCE"/>
    <w:rsid w:val="00165175"/>
    <w:rsid w:val="00166D2C"/>
    <w:rsid w:val="00170DC0"/>
    <w:rsid w:val="00171EE0"/>
    <w:rsid w:val="00181420"/>
    <w:rsid w:val="00182799"/>
    <w:rsid w:val="001833E8"/>
    <w:rsid w:val="001923F1"/>
    <w:rsid w:val="001966E4"/>
    <w:rsid w:val="00196F47"/>
    <w:rsid w:val="001A14A1"/>
    <w:rsid w:val="001A464D"/>
    <w:rsid w:val="001A46AA"/>
    <w:rsid w:val="001A4783"/>
    <w:rsid w:val="001B017E"/>
    <w:rsid w:val="001B0F5F"/>
    <w:rsid w:val="001C12D2"/>
    <w:rsid w:val="001C3112"/>
    <w:rsid w:val="001D1724"/>
    <w:rsid w:val="001D6ED2"/>
    <w:rsid w:val="001E1A17"/>
    <w:rsid w:val="001E22D3"/>
    <w:rsid w:val="001E5895"/>
    <w:rsid w:val="001F0F68"/>
    <w:rsid w:val="001F50F1"/>
    <w:rsid w:val="001F69C8"/>
    <w:rsid w:val="001F792C"/>
    <w:rsid w:val="00201387"/>
    <w:rsid w:val="0020287F"/>
    <w:rsid w:val="00204029"/>
    <w:rsid w:val="002069D9"/>
    <w:rsid w:val="002133FF"/>
    <w:rsid w:val="002135D6"/>
    <w:rsid w:val="00213BFB"/>
    <w:rsid w:val="00213D35"/>
    <w:rsid w:val="0022072D"/>
    <w:rsid w:val="00223245"/>
    <w:rsid w:val="002337D0"/>
    <w:rsid w:val="00234755"/>
    <w:rsid w:val="00235B96"/>
    <w:rsid w:val="00237865"/>
    <w:rsid w:val="00241B62"/>
    <w:rsid w:val="00241F79"/>
    <w:rsid w:val="00244062"/>
    <w:rsid w:val="002450D4"/>
    <w:rsid w:val="00252D97"/>
    <w:rsid w:val="00257033"/>
    <w:rsid w:val="00260C37"/>
    <w:rsid w:val="00262680"/>
    <w:rsid w:val="002639CC"/>
    <w:rsid w:val="002641A9"/>
    <w:rsid w:val="00275963"/>
    <w:rsid w:val="00276BAB"/>
    <w:rsid w:val="00280E43"/>
    <w:rsid w:val="002826C5"/>
    <w:rsid w:val="0028454A"/>
    <w:rsid w:val="00291AB4"/>
    <w:rsid w:val="002A02C7"/>
    <w:rsid w:val="002A25C9"/>
    <w:rsid w:val="002A4277"/>
    <w:rsid w:val="002A7200"/>
    <w:rsid w:val="002A78C5"/>
    <w:rsid w:val="002B4228"/>
    <w:rsid w:val="002B7019"/>
    <w:rsid w:val="002C71CE"/>
    <w:rsid w:val="002D0BCE"/>
    <w:rsid w:val="002D10EC"/>
    <w:rsid w:val="002E1FCA"/>
    <w:rsid w:val="002E324E"/>
    <w:rsid w:val="002E6962"/>
    <w:rsid w:val="002F26CE"/>
    <w:rsid w:val="00302525"/>
    <w:rsid w:val="0030389D"/>
    <w:rsid w:val="003047B3"/>
    <w:rsid w:val="00304F90"/>
    <w:rsid w:val="00310A4D"/>
    <w:rsid w:val="00312B98"/>
    <w:rsid w:val="00312CB5"/>
    <w:rsid w:val="0031418C"/>
    <w:rsid w:val="00317127"/>
    <w:rsid w:val="00320539"/>
    <w:rsid w:val="003219B9"/>
    <w:rsid w:val="00322DFC"/>
    <w:rsid w:val="00323D60"/>
    <w:rsid w:val="00327669"/>
    <w:rsid w:val="003362B2"/>
    <w:rsid w:val="003407A8"/>
    <w:rsid w:val="00341668"/>
    <w:rsid w:val="00341BA3"/>
    <w:rsid w:val="003430A0"/>
    <w:rsid w:val="00344153"/>
    <w:rsid w:val="003443A2"/>
    <w:rsid w:val="003443BC"/>
    <w:rsid w:val="00345028"/>
    <w:rsid w:val="0034538A"/>
    <w:rsid w:val="00347C03"/>
    <w:rsid w:val="003528C8"/>
    <w:rsid w:val="003559A9"/>
    <w:rsid w:val="003562BC"/>
    <w:rsid w:val="00356342"/>
    <w:rsid w:val="0036319E"/>
    <w:rsid w:val="003721A0"/>
    <w:rsid w:val="00372EF9"/>
    <w:rsid w:val="00375038"/>
    <w:rsid w:val="00377BC0"/>
    <w:rsid w:val="00377F18"/>
    <w:rsid w:val="00381946"/>
    <w:rsid w:val="003A08B8"/>
    <w:rsid w:val="003A132E"/>
    <w:rsid w:val="003A1DEA"/>
    <w:rsid w:val="003A3004"/>
    <w:rsid w:val="003A36D6"/>
    <w:rsid w:val="003A3D5C"/>
    <w:rsid w:val="003B0134"/>
    <w:rsid w:val="003C0B42"/>
    <w:rsid w:val="003C5350"/>
    <w:rsid w:val="003D2978"/>
    <w:rsid w:val="003D3D81"/>
    <w:rsid w:val="003D5DD1"/>
    <w:rsid w:val="003D65B0"/>
    <w:rsid w:val="003D7A87"/>
    <w:rsid w:val="003E12A3"/>
    <w:rsid w:val="003E1329"/>
    <w:rsid w:val="003E2884"/>
    <w:rsid w:val="003E6083"/>
    <w:rsid w:val="003F0262"/>
    <w:rsid w:val="003F2031"/>
    <w:rsid w:val="003F47F9"/>
    <w:rsid w:val="003F4DF0"/>
    <w:rsid w:val="003F4EDE"/>
    <w:rsid w:val="003F6DDE"/>
    <w:rsid w:val="00402FB6"/>
    <w:rsid w:val="00403260"/>
    <w:rsid w:val="00403951"/>
    <w:rsid w:val="00404378"/>
    <w:rsid w:val="00405A90"/>
    <w:rsid w:val="0041086F"/>
    <w:rsid w:val="004136DB"/>
    <w:rsid w:val="00414688"/>
    <w:rsid w:val="0041627E"/>
    <w:rsid w:val="00425D7B"/>
    <w:rsid w:val="00427BA5"/>
    <w:rsid w:val="00430C6F"/>
    <w:rsid w:val="0043144D"/>
    <w:rsid w:val="00432C6D"/>
    <w:rsid w:val="00432DDA"/>
    <w:rsid w:val="00436A1C"/>
    <w:rsid w:val="00437715"/>
    <w:rsid w:val="0045059C"/>
    <w:rsid w:val="00457A64"/>
    <w:rsid w:val="00466F52"/>
    <w:rsid w:val="00472E13"/>
    <w:rsid w:val="00475A1D"/>
    <w:rsid w:val="00484FFA"/>
    <w:rsid w:val="004878AE"/>
    <w:rsid w:val="00491BEF"/>
    <w:rsid w:val="00492094"/>
    <w:rsid w:val="0049458F"/>
    <w:rsid w:val="00496668"/>
    <w:rsid w:val="004A17EA"/>
    <w:rsid w:val="004A3D55"/>
    <w:rsid w:val="004A4787"/>
    <w:rsid w:val="004B10A9"/>
    <w:rsid w:val="004B3C05"/>
    <w:rsid w:val="004C5734"/>
    <w:rsid w:val="004D0B13"/>
    <w:rsid w:val="004D0F2A"/>
    <w:rsid w:val="004D1F56"/>
    <w:rsid w:val="004D227D"/>
    <w:rsid w:val="004D43B4"/>
    <w:rsid w:val="004D632C"/>
    <w:rsid w:val="004E22AC"/>
    <w:rsid w:val="004E391E"/>
    <w:rsid w:val="004E5345"/>
    <w:rsid w:val="004E71AA"/>
    <w:rsid w:val="004E72AC"/>
    <w:rsid w:val="004E7C88"/>
    <w:rsid w:val="004E7E0B"/>
    <w:rsid w:val="004F1219"/>
    <w:rsid w:val="004F1668"/>
    <w:rsid w:val="004F35BE"/>
    <w:rsid w:val="004F64D3"/>
    <w:rsid w:val="00500541"/>
    <w:rsid w:val="00500E9D"/>
    <w:rsid w:val="00510F35"/>
    <w:rsid w:val="00513C24"/>
    <w:rsid w:val="00515F41"/>
    <w:rsid w:val="005201CE"/>
    <w:rsid w:val="00521EFD"/>
    <w:rsid w:val="005253C7"/>
    <w:rsid w:val="00525515"/>
    <w:rsid w:val="00527425"/>
    <w:rsid w:val="00530174"/>
    <w:rsid w:val="00537623"/>
    <w:rsid w:val="00537EF2"/>
    <w:rsid w:val="00544ABF"/>
    <w:rsid w:val="00546F23"/>
    <w:rsid w:val="00547619"/>
    <w:rsid w:val="00550ADE"/>
    <w:rsid w:val="00554008"/>
    <w:rsid w:val="00554F22"/>
    <w:rsid w:val="0055645D"/>
    <w:rsid w:val="00556FA1"/>
    <w:rsid w:val="00560090"/>
    <w:rsid w:val="00561D2A"/>
    <w:rsid w:val="00562FDF"/>
    <w:rsid w:val="005637AA"/>
    <w:rsid w:val="0057036E"/>
    <w:rsid w:val="00570DF2"/>
    <w:rsid w:val="00571F16"/>
    <w:rsid w:val="00572128"/>
    <w:rsid w:val="0057297D"/>
    <w:rsid w:val="00587E54"/>
    <w:rsid w:val="0059084D"/>
    <w:rsid w:val="005909BF"/>
    <w:rsid w:val="00591C1B"/>
    <w:rsid w:val="005936AE"/>
    <w:rsid w:val="00593A7A"/>
    <w:rsid w:val="005971AE"/>
    <w:rsid w:val="005B0020"/>
    <w:rsid w:val="005B0A69"/>
    <w:rsid w:val="005B35BC"/>
    <w:rsid w:val="005B55C0"/>
    <w:rsid w:val="005C2353"/>
    <w:rsid w:val="005D565E"/>
    <w:rsid w:val="005D59F0"/>
    <w:rsid w:val="005E078F"/>
    <w:rsid w:val="005E1B3D"/>
    <w:rsid w:val="005F2486"/>
    <w:rsid w:val="005F311D"/>
    <w:rsid w:val="005F5226"/>
    <w:rsid w:val="005F5D8F"/>
    <w:rsid w:val="005F5E95"/>
    <w:rsid w:val="005F6AFE"/>
    <w:rsid w:val="00602B7F"/>
    <w:rsid w:val="00604DBF"/>
    <w:rsid w:val="0060524B"/>
    <w:rsid w:val="00610C07"/>
    <w:rsid w:val="0061143F"/>
    <w:rsid w:val="00614850"/>
    <w:rsid w:val="00620070"/>
    <w:rsid w:val="00625D41"/>
    <w:rsid w:val="00626223"/>
    <w:rsid w:val="00631AAC"/>
    <w:rsid w:val="00637756"/>
    <w:rsid w:val="00655C8D"/>
    <w:rsid w:val="006604F7"/>
    <w:rsid w:val="00661D8D"/>
    <w:rsid w:val="00664603"/>
    <w:rsid w:val="00667784"/>
    <w:rsid w:val="00671985"/>
    <w:rsid w:val="006745D7"/>
    <w:rsid w:val="006759FF"/>
    <w:rsid w:val="00682887"/>
    <w:rsid w:val="00683142"/>
    <w:rsid w:val="006844F5"/>
    <w:rsid w:val="00686290"/>
    <w:rsid w:val="0069676A"/>
    <w:rsid w:val="006A02C3"/>
    <w:rsid w:val="006A0CB5"/>
    <w:rsid w:val="006A2112"/>
    <w:rsid w:val="006A299C"/>
    <w:rsid w:val="006A6ECA"/>
    <w:rsid w:val="006B15B2"/>
    <w:rsid w:val="006C04FD"/>
    <w:rsid w:val="006C61CC"/>
    <w:rsid w:val="006D1EB0"/>
    <w:rsid w:val="006D7040"/>
    <w:rsid w:val="006E0661"/>
    <w:rsid w:val="006E0B17"/>
    <w:rsid w:val="006E2F01"/>
    <w:rsid w:val="006E3573"/>
    <w:rsid w:val="006E6179"/>
    <w:rsid w:val="006E6A72"/>
    <w:rsid w:val="006F1841"/>
    <w:rsid w:val="006F4035"/>
    <w:rsid w:val="006F61BE"/>
    <w:rsid w:val="00701DE0"/>
    <w:rsid w:val="00703F6C"/>
    <w:rsid w:val="007131E9"/>
    <w:rsid w:val="00716D1C"/>
    <w:rsid w:val="007212CD"/>
    <w:rsid w:val="00724AC2"/>
    <w:rsid w:val="00725765"/>
    <w:rsid w:val="00727D43"/>
    <w:rsid w:val="00732BF0"/>
    <w:rsid w:val="007421E8"/>
    <w:rsid w:val="0074248B"/>
    <w:rsid w:val="007431B2"/>
    <w:rsid w:val="0074721C"/>
    <w:rsid w:val="00750D0C"/>
    <w:rsid w:val="007511EA"/>
    <w:rsid w:val="007524EA"/>
    <w:rsid w:val="007605BA"/>
    <w:rsid w:val="0076105B"/>
    <w:rsid w:val="0077357E"/>
    <w:rsid w:val="007810CD"/>
    <w:rsid w:val="00784963"/>
    <w:rsid w:val="00784CFC"/>
    <w:rsid w:val="00795F90"/>
    <w:rsid w:val="007A1554"/>
    <w:rsid w:val="007A4C50"/>
    <w:rsid w:val="007A6DFF"/>
    <w:rsid w:val="007B0A4B"/>
    <w:rsid w:val="007B31DC"/>
    <w:rsid w:val="007B5ED5"/>
    <w:rsid w:val="007B6B67"/>
    <w:rsid w:val="007C1A66"/>
    <w:rsid w:val="007C1BAB"/>
    <w:rsid w:val="007C48D0"/>
    <w:rsid w:val="007D2FAB"/>
    <w:rsid w:val="007D6770"/>
    <w:rsid w:val="007D7A5B"/>
    <w:rsid w:val="007D7C17"/>
    <w:rsid w:val="007E2359"/>
    <w:rsid w:val="007E6270"/>
    <w:rsid w:val="007F1313"/>
    <w:rsid w:val="007F2235"/>
    <w:rsid w:val="007F38C6"/>
    <w:rsid w:val="007F4909"/>
    <w:rsid w:val="007F5574"/>
    <w:rsid w:val="007F564D"/>
    <w:rsid w:val="007F7930"/>
    <w:rsid w:val="00802CA4"/>
    <w:rsid w:val="008040BC"/>
    <w:rsid w:val="008102BE"/>
    <w:rsid w:val="008126BE"/>
    <w:rsid w:val="00814249"/>
    <w:rsid w:val="00823BB3"/>
    <w:rsid w:val="00824A4E"/>
    <w:rsid w:val="00831A27"/>
    <w:rsid w:val="008332D9"/>
    <w:rsid w:val="008350A2"/>
    <w:rsid w:val="00836D8E"/>
    <w:rsid w:val="00840F16"/>
    <w:rsid w:val="00843070"/>
    <w:rsid w:val="008433B7"/>
    <w:rsid w:val="00844EC1"/>
    <w:rsid w:val="00846F2B"/>
    <w:rsid w:val="008512AF"/>
    <w:rsid w:val="00853A8D"/>
    <w:rsid w:val="0085416E"/>
    <w:rsid w:val="00862171"/>
    <w:rsid w:val="008628D0"/>
    <w:rsid w:val="00863C26"/>
    <w:rsid w:val="00865CC4"/>
    <w:rsid w:val="00867E4A"/>
    <w:rsid w:val="00870E9B"/>
    <w:rsid w:val="0087418A"/>
    <w:rsid w:val="00874C34"/>
    <w:rsid w:val="00874CBD"/>
    <w:rsid w:val="00881CF5"/>
    <w:rsid w:val="00881D4B"/>
    <w:rsid w:val="0088378E"/>
    <w:rsid w:val="00884071"/>
    <w:rsid w:val="008938D9"/>
    <w:rsid w:val="00897AFF"/>
    <w:rsid w:val="008A1730"/>
    <w:rsid w:val="008A40A3"/>
    <w:rsid w:val="008A6747"/>
    <w:rsid w:val="008A7121"/>
    <w:rsid w:val="008C6F40"/>
    <w:rsid w:val="008C7BE6"/>
    <w:rsid w:val="008D2B81"/>
    <w:rsid w:val="008D3215"/>
    <w:rsid w:val="008D66CE"/>
    <w:rsid w:val="008D700B"/>
    <w:rsid w:val="008E3B52"/>
    <w:rsid w:val="008E5047"/>
    <w:rsid w:val="008E56EE"/>
    <w:rsid w:val="008F1FF1"/>
    <w:rsid w:val="008F244E"/>
    <w:rsid w:val="008F2800"/>
    <w:rsid w:val="008F28CB"/>
    <w:rsid w:val="008F2E19"/>
    <w:rsid w:val="008F329F"/>
    <w:rsid w:val="008F47FE"/>
    <w:rsid w:val="00900E02"/>
    <w:rsid w:val="0090210B"/>
    <w:rsid w:val="00906206"/>
    <w:rsid w:val="0090634D"/>
    <w:rsid w:val="00907542"/>
    <w:rsid w:val="009134A4"/>
    <w:rsid w:val="00924E99"/>
    <w:rsid w:val="009258FE"/>
    <w:rsid w:val="00925E58"/>
    <w:rsid w:val="0092644A"/>
    <w:rsid w:val="009340D9"/>
    <w:rsid w:val="00934673"/>
    <w:rsid w:val="009502D5"/>
    <w:rsid w:val="00953935"/>
    <w:rsid w:val="009607E7"/>
    <w:rsid w:val="009616C7"/>
    <w:rsid w:val="00967ADE"/>
    <w:rsid w:val="00967BF4"/>
    <w:rsid w:val="0097080D"/>
    <w:rsid w:val="00970A85"/>
    <w:rsid w:val="009757AB"/>
    <w:rsid w:val="00982C0B"/>
    <w:rsid w:val="00984858"/>
    <w:rsid w:val="00991936"/>
    <w:rsid w:val="00992DAC"/>
    <w:rsid w:val="009938CC"/>
    <w:rsid w:val="00993ED1"/>
    <w:rsid w:val="00997F48"/>
    <w:rsid w:val="009A2BED"/>
    <w:rsid w:val="009A59E9"/>
    <w:rsid w:val="009A6BE7"/>
    <w:rsid w:val="009A7AF1"/>
    <w:rsid w:val="009B09C3"/>
    <w:rsid w:val="009B0EFC"/>
    <w:rsid w:val="009B7D51"/>
    <w:rsid w:val="009C074C"/>
    <w:rsid w:val="009C2567"/>
    <w:rsid w:val="009C3878"/>
    <w:rsid w:val="009D33CB"/>
    <w:rsid w:val="009D3404"/>
    <w:rsid w:val="009D67AC"/>
    <w:rsid w:val="009D6F61"/>
    <w:rsid w:val="009E28B4"/>
    <w:rsid w:val="009E306F"/>
    <w:rsid w:val="009E735F"/>
    <w:rsid w:val="009F0FBE"/>
    <w:rsid w:val="009F2BBD"/>
    <w:rsid w:val="00A036D7"/>
    <w:rsid w:val="00A038EC"/>
    <w:rsid w:val="00A060DD"/>
    <w:rsid w:val="00A109FB"/>
    <w:rsid w:val="00A12844"/>
    <w:rsid w:val="00A12861"/>
    <w:rsid w:val="00A220A9"/>
    <w:rsid w:val="00A23419"/>
    <w:rsid w:val="00A25F04"/>
    <w:rsid w:val="00A30096"/>
    <w:rsid w:val="00A33D87"/>
    <w:rsid w:val="00A33DEB"/>
    <w:rsid w:val="00A40DA4"/>
    <w:rsid w:val="00A41BF6"/>
    <w:rsid w:val="00A46131"/>
    <w:rsid w:val="00A52BE1"/>
    <w:rsid w:val="00A5382D"/>
    <w:rsid w:val="00A551C1"/>
    <w:rsid w:val="00A64F86"/>
    <w:rsid w:val="00A652E5"/>
    <w:rsid w:val="00A6622B"/>
    <w:rsid w:val="00A66C9F"/>
    <w:rsid w:val="00A749C9"/>
    <w:rsid w:val="00A76E05"/>
    <w:rsid w:val="00A80EDB"/>
    <w:rsid w:val="00A8115F"/>
    <w:rsid w:val="00A8149D"/>
    <w:rsid w:val="00A81E3A"/>
    <w:rsid w:val="00A82B90"/>
    <w:rsid w:val="00A90876"/>
    <w:rsid w:val="00A9447A"/>
    <w:rsid w:val="00A94E51"/>
    <w:rsid w:val="00AA0D6B"/>
    <w:rsid w:val="00AA3285"/>
    <w:rsid w:val="00AB2AC6"/>
    <w:rsid w:val="00AB2D6C"/>
    <w:rsid w:val="00AB3573"/>
    <w:rsid w:val="00AC1415"/>
    <w:rsid w:val="00AC1711"/>
    <w:rsid w:val="00AC4486"/>
    <w:rsid w:val="00AD106D"/>
    <w:rsid w:val="00AD1AAB"/>
    <w:rsid w:val="00AD6B1F"/>
    <w:rsid w:val="00AE079B"/>
    <w:rsid w:val="00AE100D"/>
    <w:rsid w:val="00AE470C"/>
    <w:rsid w:val="00AF0DD8"/>
    <w:rsid w:val="00AF2BD8"/>
    <w:rsid w:val="00AF71E1"/>
    <w:rsid w:val="00B02C8D"/>
    <w:rsid w:val="00B10946"/>
    <w:rsid w:val="00B16B2F"/>
    <w:rsid w:val="00B260F1"/>
    <w:rsid w:val="00B26C97"/>
    <w:rsid w:val="00B34885"/>
    <w:rsid w:val="00B35EEE"/>
    <w:rsid w:val="00B41891"/>
    <w:rsid w:val="00B43ABE"/>
    <w:rsid w:val="00B52D5F"/>
    <w:rsid w:val="00B566F1"/>
    <w:rsid w:val="00B607AF"/>
    <w:rsid w:val="00B647A5"/>
    <w:rsid w:val="00B658DC"/>
    <w:rsid w:val="00B6712B"/>
    <w:rsid w:val="00B6776D"/>
    <w:rsid w:val="00B7188C"/>
    <w:rsid w:val="00B7376C"/>
    <w:rsid w:val="00B7672F"/>
    <w:rsid w:val="00B76766"/>
    <w:rsid w:val="00B77B9C"/>
    <w:rsid w:val="00B81935"/>
    <w:rsid w:val="00B82383"/>
    <w:rsid w:val="00B838EA"/>
    <w:rsid w:val="00B869C7"/>
    <w:rsid w:val="00B87BAE"/>
    <w:rsid w:val="00B9192B"/>
    <w:rsid w:val="00B92D12"/>
    <w:rsid w:val="00B95D24"/>
    <w:rsid w:val="00B97953"/>
    <w:rsid w:val="00BA00C5"/>
    <w:rsid w:val="00BA5AE7"/>
    <w:rsid w:val="00BB3303"/>
    <w:rsid w:val="00BB65B6"/>
    <w:rsid w:val="00BC250C"/>
    <w:rsid w:val="00BC49A4"/>
    <w:rsid w:val="00BD0004"/>
    <w:rsid w:val="00BD6E9F"/>
    <w:rsid w:val="00BD75C4"/>
    <w:rsid w:val="00BE7105"/>
    <w:rsid w:val="00BF0914"/>
    <w:rsid w:val="00BF0AA9"/>
    <w:rsid w:val="00BF13AC"/>
    <w:rsid w:val="00BF7136"/>
    <w:rsid w:val="00C02093"/>
    <w:rsid w:val="00C04E21"/>
    <w:rsid w:val="00C215D1"/>
    <w:rsid w:val="00C23F74"/>
    <w:rsid w:val="00C27D34"/>
    <w:rsid w:val="00C3326D"/>
    <w:rsid w:val="00C342D3"/>
    <w:rsid w:val="00C353E5"/>
    <w:rsid w:val="00C423F2"/>
    <w:rsid w:val="00C42B87"/>
    <w:rsid w:val="00C42D3D"/>
    <w:rsid w:val="00C446A7"/>
    <w:rsid w:val="00C457E1"/>
    <w:rsid w:val="00C47711"/>
    <w:rsid w:val="00C54E16"/>
    <w:rsid w:val="00C61EBF"/>
    <w:rsid w:val="00C64A17"/>
    <w:rsid w:val="00C66384"/>
    <w:rsid w:val="00C66E0A"/>
    <w:rsid w:val="00C71DAA"/>
    <w:rsid w:val="00C72EAE"/>
    <w:rsid w:val="00C741FE"/>
    <w:rsid w:val="00C826F3"/>
    <w:rsid w:val="00C83454"/>
    <w:rsid w:val="00C84612"/>
    <w:rsid w:val="00C9550E"/>
    <w:rsid w:val="00CA152A"/>
    <w:rsid w:val="00CA2997"/>
    <w:rsid w:val="00CA3236"/>
    <w:rsid w:val="00CA344F"/>
    <w:rsid w:val="00CA4A86"/>
    <w:rsid w:val="00CA69E3"/>
    <w:rsid w:val="00CA7F5D"/>
    <w:rsid w:val="00CB232F"/>
    <w:rsid w:val="00CB2353"/>
    <w:rsid w:val="00CB28E2"/>
    <w:rsid w:val="00CB2C4C"/>
    <w:rsid w:val="00CB423C"/>
    <w:rsid w:val="00CC49F8"/>
    <w:rsid w:val="00CC748F"/>
    <w:rsid w:val="00CD1D85"/>
    <w:rsid w:val="00CD1F5E"/>
    <w:rsid w:val="00CD42CF"/>
    <w:rsid w:val="00CD6D08"/>
    <w:rsid w:val="00CE13FC"/>
    <w:rsid w:val="00CE5EB3"/>
    <w:rsid w:val="00CE6BCA"/>
    <w:rsid w:val="00CF0D89"/>
    <w:rsid w:val="00CF47C0"/>
    <w:rsid w:val="00CF6412"/>
    <w:rsid w:val="00D07711"/>
    <w:rsid w:val="00D12333"/>
    <w:rsid w:val="00D12D32"/>
    <w:rsid w:val="00D24960"/>
    <w:rsid w:val="00D24A99"/>
    <w:rsid w:val="00D27AB1"/>
    <w:rsid w:val="00D27C87"/>
    <w:rsid w:val="00D30419"/>
    <w:rsid w:val="00D3155B"/>
    <w:rsid w:val="00D34D13"/>
    <w:rsid w:val="00D44202"/>
    <w:rsid w:val="00D454FF"/>
    <w:rsid w:val="00D4744E"/>
    <w:rsid w:val="00D477DD"/>
    <w:rsid w:val="00D47EC0"/>
    <w:rsid w:val="00D47F42"/>
    <w:rsid w:val="00D5009B"/>
    <w:rsid w:val="00D50598"/>
    <w:rsid w:val="00D52244"/>
    <w:rsid w:val="00D5315B"/>
    <w:rsid w:val="00D55B0F"/>
    <w:rsid w:val="00D56C72"/>
    <w:rsid w:val="00D57D7D"/>
    <w:rsid w:val="00D63816"/>
    <w:rsid w:val="00D640DD"/>
    <w:rsid w:val="00D667FA"/>
    <w:rsid w:val="00D702F7"/>
    <w:rsid w:val="00D85917"/>
    <w:rsid w:val="00D87988"/>
    <w:rsid w:val="00D879CF"/>
    <w:rsid w:val="00D90552"/>
    <w:rsid w:val="00D9166E"/>
    <w:rsid w:val="00D93304"/>
    <w:rsid w:val="00D94B22"/>
    <w:rsid w:val="00D95289"/>
    <w:rsid w:val="00DA09CF"/>
    <w:rsid w:val="00DA0E13"/>
    <w:rsid w:val="00DA15DC"/>
    <w:rsid w:val="00DA16CC"/>
    <w:rsid w:val="00DA376D"/>
    <w:rsid w:val="00DB0520"/>
    <w:rsid w:val="00DB3406"/>
    <w:rsid w:val="00DB5354"/>
    <w:rsid w:val="00DB65C5"/>
    <w:rsid w:val="00DC0E66"/>
    <w:rsid w:val="00DC4895"/>
    <w:rsid w:val="00DC4A42"/>
    <w:rsid w:val="00DC6124"/>
    <w:rsid w:val="00DD01AE"/>
    <w:rsid w:val="00DE113A"/>
    <w:rsid w:val="00DE2491"/>
    <w:rsid w:val="00E02FBA"/>
    <w:rsid w:val="00E040B5"/>
    <w:rsid w:val="00E04903"/>
    <w:rsid w:val="00E05123"/>
    <w:rsid w:val="00E05AC5"/>
    <w:rsid w:val="00E07827"/>
    <w:rsid w:val="00E12D24"/>
    <w:rsid w:val="00E12FE9"/>
    <w:rsid w:val="00E14262"/>
    <w:rsid w:val="00E23EFA"/>
    <w:rsid w:val="00E24CDB"/>
    <w:rsid w:val="00E324E1"/>
    <w:rsid w:val="00E33422"/>
    <w:rsid w:val="00E42162"/>
    <w:rsid w:val="00E42E18"/>
    <w:rsid w:val="00E43311"/>
    <w:rsid w:val="00E468AF"/>
    <w:rsid w:val="00E47ECC"/>
    <w:rsid w:val="00E53F35"/>
    <w:rsid w:val="00E56086"/>
    <w:rsid w:val="00E6087C"/>
    <w:rsid w:val="00E6174A"/>
    <w:rsid w:val="00E617A8"/>
    <w:rsid w:val="00E61DD1"/>
    <w:rsid w:val="00E62442"/>
    <w:rsid w:val="00E82983"/>
    <w:rsid w:val="00E838EC"/>
    <w:rsid w:val="00E8555D"/>
    <w:rsid w:val="00E8673D"/>
    <w:rsid w:val="00E92AF3"/>
    <w:rsid w:val="00E9758D"/>
    <w:rsid w:val="00E97FD2"/>
    <w:rsid w:val="00EB1A7C"/>
    <w:rsid w:val="00EB7997"/>
    <w:rsid w:val="00EC1AE3"/>
    <w:rsid w:val="00EC2931"/>
    <w:rsid w:val="00EC2CDC"/>
    <w:rsid w:val="00EC4424"/>
    <w:rsid w:val="00ED0050"/>
    <w:rsid w:val="00ED7517"/>
    <w:rsid w:val="00EE084E"/>
    <w:rsid w:val="00EE1DC1"/>
    <w:rsid w:val="00EE31C4"/>
    <w:rsid w:val="00EE551F"/>
    <w:rsid w:val="00EE6E9C"/>
    <w:rsid w:val="00EF4545"/>
    <w:rsid w:val="00F019EB"/>
    <w:rsid w:val="00F0438F"/>
    <w:rsid w:val="00F0459D"/>
    <w:rsid w:val="00F05A5E"/>
    <w:rsid w:val="00F100EB"/>
    <w:rsid w:val="00F16CD6"/>
    <w:rsid w:val="00F17E5F"/>
    <w:rsid w:val="00F26063"/>
    <w:rsid w:val="00F26608"/>
    <w:rsid w:val="00F270F1"/>
    <w:rsid w:val="00F31A3A"/>
    <w:rsid w:val="00F326B2"/>
    <w:rsid w:val="00F40E74"/>
    <w:rsid w:val="00F46526"/>
    <w:rsid w:val="00F474A2"/>
    <w:rsid w:val="00F50873"/>
    <w:rsid w:val="00F508B5"/>
    <w:rsid w:val="00F543EC"/>
    <w:rsid w:val="00F555C4"/>
    <w:rsid w:val="00F566EF"/>
    <w:rsid w:val="00F6530B"/>
    <w:rsid w:val="00F656D4"/>
    <w:rsid w:val="00F67E26"/>
    <w:rsid w:val="00F7420C"/>
    <w:rsid w:val="00F77483"/>
    <w:rsid w:val="00F774FC"/>
    <w:rsid w:val="00F86909"/>
    <w:rsid w:val="00F907AC"/>
    <w:rsid w:val="00F9783A"/>
    <w:rsid w:val="00FA2D46"/>
    <w:rsid w:val="00FA5FE5"/>
    <w:rsid w:val="00FB48EE"/>
    <w:rsid w:val="00FB62E8"/>
    <w:rsid w:val="00FC326B"/>
    <w:rsid w:val="00FC6699"/>
    <w:rsid w:val="00FD3E44"/>
    <w:rsid w:val="00FD6331"/>
    <w:rsid w:val="00FD78CC"/>
    <w:rsid w:val="00FE79B7"/>
    <w:rsid w:val="00FF430D"/>
    <w:rsid w:val="00FF45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47E2C1"/>
  <w15:docId w15:val="{CF6980B4-3393-4086-B67A-0078646CD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EAB"/>
  </w:style>
  <w:style w:type="paragraph" w:styleId="Heading1">
    <w:name w:val="heading 1"/>
    <w:basedOn w:val="Normal"/>
    <w:link w:val="Heading1Char"/>
    <w:uiPriority w:val="1"/>
    <w:qFormat/>
    <w:rsid w:val="003F6DDE"/>
    <w:pPr>
      <w:widowControl w:val="0"/>
      <w:numPr>
        <w:numId w:val="28"/>
      </w:numPr>
      <w:autoSpaceDE w:val="0"/>
      <w:autoSpaceDN w:val="0"/>
      <w:spacing w:after="0" w:line="240" w:lineRule="auto"/>
      <w:ind w:right="267"/>
      <w:jc w:val="both"/>
      <w:outlineLvl w:val="0"/>
    </w:pPr>
    <w:rPr>
      <w:rFonts w:asciiTheme="majorHAnsi" w:eastAsia="Calibri" w:hAnsiTheme="majorHAnsi" w:cstheme="majorHAnsi"/>
      <w:b/>
      <w:bCs/>
      <w:caps/>
      <w:sz w:val="24"/>
      <w:szCs w:val="24"/>
    </w:rPr>
  </w:style>
  <w:style w:type="paragraph" w:styleId="Heading2">
    <w:name w:val="heading 2"/>
    <w:link w:val="Heading2Char"/>
    <w:uiPriority w:val="1"/>
    <w:qFormat/>
    <w:rsid w:val="003F6DDE"/>
    <w:pPr>
      <w:numPr>
        <w:ilvl w:val="1"/>
        <w:numId w:val="28"/>
      </w:numPr>
      <w:outlineLvl w:val="1"/>
    </w:pPr>
    <w:rPr>
      <w:rFonts w:asciiTheme="majorHAnsi" w:eastAsia="Calibri" w:hAnsiTheme="majorHAnsi" w:cstheme="maj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4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60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60F1"/>
  </w:style>
  <w:style w:type="paragraph" w:styleId="Footer">
    <w:name w:val="footer"/>
    <w:basedOn w:val="Normal"/>
    <w:link w:val="FooterChar"/>
    <w:uiPriority w:val="99"/>
    <w:unhideWhenUsed/>
    <w:rsid w:val="00B260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60F1"/>
  </w:style>
  <w:style w:type="character" w:styleId="PlaceholderText">
    <w:name w:val="Placeholder Text"/>
    <w:basedOn w:val="DefaultParagraphFont"/>
    <w:uiPriority w:val="99"/>
    <w:semiHidden/>
    <w:rsid w:val="00BF7136"/>
    <w:rPr>
      <w:color w:val="808080"/>
    </w:rPr>
  </w:style>
  <w:style w:type="character" w:styleId="Hyperlink">
    <w:name w:val="Hyperlink"/>
    <w:basedOn w:val="DefaultParagraphFont"/>
    <w:uiPriority w:val="99"/>
    <w:unhideWhenUsed/>
    <w:rsid w:val="00D27C87"/>
    <w:rPr>
      <w:color w:val="0563C1" w:themeColor="hyperlink"/>
      <w:u w:val="single"/>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1"/>
    <w:qFormat/>
    <w:rsid w:val="00B81935"/>
    <w:pPr>
      <w:spacing w:after="0" w:line="240" w:lineRule="auto"/>
      <w:ind w:left="720"/>
    </w:pPr>
    <w:rPr>
      <w:rFonts w:ascii="Calibri" w:hAnsi="Calibri" w:cs="Calibri"/>
    </w:rPr>
  </w:style>
  <w:style w:type="character" w:customStyle="1" w:styleId="Heading1Char">
    <w:name w:val="Heading 1 Char"/>
    <w:basedOn w:val="DefaultParagraphFont"/>
    <w:link w:val="Heading1"/>
    <w:uiPriority w:val="1"/>
    <w:rsid w:val="003F6DDE"/>
    <w:rPr>
      <w:rFonts w:asciiTheme="majorHAnsi" w:eastAsia="Calibri" w:hAnsiTheme="majorHAnsi" w:cstheme="majorHAnsi"/>
      <w:b/>
      <w:bCs/>
      <w:caps/>
      <w:sz w:val="24"/>
      <w:szCs w:val="24"/>
    </w:rPr>
  </w:style>
  <w:style w:type="character" w:customStyle="1" w:styleId="Heading2Char">
    <w:name w:val="Heading 2 Char"/>
    <w:basedOn w:val="DefaultParagraphFont"/>
    <w:link w:val="Heading2"/>
    <w:uiPriority w:val="1"/>
    <w:rsid w:val="003F6DDE"/>
    <w:rPr>
      <w:rFonts w:asciiTheme="majorHAnsi" w:eastAsia="Calibri" w:hAnsiTheme="majorHAnsi" w:cstheme="majorHAnsi"/>
      <w:szCs w:val="24"/>
    </w:rPr>
  </w:style>
  <w:style w:type="paragraph" w:styleId="BodyText">
    <w:name w:val="Body Text"/>
    <w:basedOn w:val="Normal"/>
    <w:link w:val="BodyTextChar"/>
    <w:uiPriority w:val="1"/>
    <w:qFormat/>
    <w:rsid w:val="001923F1"/>
    <w:pPr>
      <w:widowControl w:val="0"/>
      <w:autoSpaceDE w:val="0"/>
      <w:autoSpaceDN w:val="0"/>
      <w:spacing w:before="120" w:after="0" w:line="240" w:lineRule="auto"/>
      <w:ind w:left="1045"/>
    </w:pPr>
    <w:rPr>
      <w:rFonts w:ascii="Calibri" w:eastAsia="Calibri" w:hAnsi="Calibri" w:cs="Calibri"/>
      <w:sz w:val="20"/>
      <w:szCs w:val="20"/>
    </w:rPr>
  </w:style>
  <w:style w:type="character" w:customStyle="1" w:styleId="BodyTextChar">
    <w:name w:val="Body Text Char"/>
    <w:basedOn w:val="DefaultParagraphFont"/>
    <w:link w:val="BodyText"/>
    <w:uiPriority w:val="1"/>
    <w:rsid w:val="001923F1"/>
    <w:rPr>
      <w:rFonts w:ascii="Calibri" w:eastAsia="Calibri" w:hAnsi="Calibri" w:cs="Calibri"/>
      <w:sz w:val="20"/>
      <w:szCs w:val="20"/>
    </w:rPr>
  </w:style>
  <w:style w:type="paragraph" w:styleId="Title">
    <w:name w:val="Title"/>
    <w:basedOn w:val="Normal"/>
    <w:link w:val="TitleChar"/>
    <w:uiPriority w:val="1"/>
    <w:qFormat/>
    <w:rsid w:val="001923F1"/>
    <w:pPr>
      <w:widowControl w:val="0"/>
      <w:autoSpaceDE w:val="0"/>
      <w:autoSpaceDN w:val="0"/>
      <w:spacing w:before="4" w:after="0" w:line="240" w:lineRule="auto"/>
      <w:ind w:left="2113" w:right="2149"/>
      <w:jc w:val="center"/>
    </w:pPr>
    <w:rPr>
      <w:rFonts w:ascii="Calibri" w:eastAsia="Calibri" w:hAnsi="Calibri" w:cs="Calibri"/>
      <w:b/>
      <w:bCs/>
      <w:sz w:val="48"/>
      <w:szCs w:val="48"/>
    </w:rPr>
  </w:style>
  <w:style w:type="character" w:customStyle="1" w:styleId="TitleChar">
    <w:name w:val="Title Char"/>
    <w:basedOn w:val="DefaultParagraphFont"/>
    <w:link w:val="Title"/>
    <w:uiPriority w:val="1"/>
    <w:rsid w:val="001923F1"/>
    <w:rPr>
      <w:rFonts w:ascii="Calibri" w:eastAsia="Calibri" w:hAnsi="Calibri" w:cs="Calibri"/>
      <w:b/>
      <w:bCs/>
      <w:sz w:val="48"/>
      <w:szCs w:val="48"/>
    </w:rPr>
  </w:style>
  <w:style w:type="paragraph" w:customStyle="1" w:styleId="TableParagraph">
    <w:name w:val="Table Paragraph"/>
    <w:basedOn w:val="Normal"/>
    <w:uiPriority w:val="1"/>
    <w:qFormat/>
    <w:rsid w:val="001923F1"/>
    <w:pPr>
      <w:widowControl w:val="0"/>
      <w:autoSpaceDE w:val="0"/>
      <w:autoSpaceDN w:val="0"/>
      <w:spacing w:after="0" w:line="240" w:lineRule="auto"/>
      <w:ind w:left="200"/>
    </w:pPr>
    <w:rPr>
      <w:rFonts w:ascii="Calibri" w:eastAsia="Calibri" w:hAnsi="Calibri" w:cs="Calibri"/>
    </w:rPr>
  </w:style>
  <w:style w:type="paragraph" w:styleId="BalloonText">
    <w:name w:val="Balloon Text"/>
    <w:basedOn w:val="Normal"/>
    <w:link w:val="BalloonTextChar"/>
    <w:uiPriority w:val="99"/>
    <w:semiHidden/>
    <w:unhideWhenUsed/>
    <w:rsid w:val="001923F1"/>
    <w:pPr>
      <w:widowControl w:val="0"/>
      <w:autoSpaceDE w:val="0"/>
      <w:autoSpaceDN w:val="0"/>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1923F1"/>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1923F1"/>
    <w:rPr>
      <w:sz w:val="16"/>
      <w:szCs w:val="16"/>
    </w:rPr>
  </w:style>
  <w:style w:type="paragraph" w:styleId="CommentText">
    <w:name w:val="annotation text"/>
    <w:basedOn w:val="Normal"/>
    <w:link w:val="CommentTextChar"/>
    <w:uiPriority w:val="99"/>
    <w:unhideWhenUsed/>
    <w:rsid w:val="001923F1"/>
    <w:pPr>
      <w:widowControl w:val="0"/>
      <w:autoSpaceDE w:val="0"/>
      <w:autoSpaceDN w:val="0"/>
      <w:spacing w:after="0"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1923F1"/>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1923F1"/>
    <w:rPr>
      <w:b/>
      <w:bCs/>
    </w:rPr>
  </w:style>
  <w:style w:type="character" w:customStyle="1" w:styleId="CommentSubjectChar">
    <w:name w:val="Comment Subject Char"/>
    <w:basedOn w:val="CommentTextChar"/>
    <w:link w:val="CommentSubject"/>
    <w:uiPriority w:val="99"/>
    <w:semiHidden/>
    <w:rsid w:val="001923F1"/>
    <w:rPr>
      <w:rFonts w:ascii="Calibri" w:eastAsia="Calibri" w:hAnsi="Calibri" w:cs="Calibri"/>
      <w:b/>
      <w:bCs/>
      <w:sz w:val="20"/>
      <w:szCs w:val="20"/>
    </w:rPr>
  </w:style>
  <w:style w:type="paragraph" w:styleId="TOCHeading">
    <w:name w:val="TOC Heading"/>
    <w:basedOn w:val="Heading1"/>
    <w:next w:val="Normal"/>
    <w:uiPriority w:val="39"/>
    <w:unhideWhenUsed/>
    <w:qFormat/>
    <w:rsid w:val="0055645D"/>
    <w:pPr>
      <w:keepNext/>
      <w:keepLines/>
      <w:widowControl/>
      <w:autoSpaceDE/>
      <w:autoSpaceDN/>
      <w:spacing w:before="480" w:line="276" w:lineRule="auto"/>
      <w:ind w:left="0" w:firstLine="0"/>
      <w:outlineLvl w:val="9"/>
    </w:pPr>
    <w:rPr>
      <w:rFonts w:ascii="Arial" w:eastAsiaTheme="majorEastAsia" w:hAnsi="Arial" w:cstheme="majorBidi"/>
      <w:color w:val="2E74B5" w:themeColor="accent1" w:themeShade="BF"/>
      <w:sz w:val="28"/>
      <w:szCs w:val="28"/>
      <w:lang w:val="en-US" w:eastAsia="ja-JP"/>
    </w:rPr>
  </w:style>
  <w:style w:type="paragraph" w:styleId="TOC2">
    <w:name w:val="toc 2"/>
    <w:basedOn w:val="Normal"/>
    <w:next w:val="Normal"/>
    <w:autoRedefine/>
    <w:uiPriority w:val="39"/>
    <w:unhideWhenUsed/>
    <w:qFormat/>
    <w:rsid w:val="0055645D"/>
    <w:pPr>
      <w:spacing w:after="0"/>
      <w:ind w:left="220"/>
    </w:pPr>
    <w:rPr>
      <w:rFonts w:cstheme="minorHAnsi"/>
      <w:smallCaps/>
      <w:sz w:val="20"/>
      <w:szCs w:val="20"/>
    </w:rPr>
  </w:style>
  <w:style w:type="paragraph" w:styleId="TOC1">
    <w:name w:val="toc 1"/>
    <w:basedOn w:val="Normal"/>
    <w:next w:val="Normal"/>
    <w:autoRedefine/>
    <w:uiPriority w:val="39"/>
    <w:unhideWhenUsed/>
    <w:qFormat/>
    <w:rsid w:val="0055645D"/>
    <w:pPr>
      <w:spacing w:before="120" w:after="120"/>
    </w:pPr>
    <w:rPr>
      <w:rFonts w:cstheme="minorHAnsi"/>
      <w:b/>
      <w:bCs/>
      <w:caps/>
      <w:sz w:val="20"/>
      <w:szCs w:val="20"/>
    </w:rPr>
  </w:style>
  <w:style w:type="character" w:customStyle="1" w:styleId="normaltextrun">
    <w:name w:val="normaltextrun"/>
    <w:basedOn w:val="DefaultParagraphFont"/>
    <w:rsid w:val="0055645D"/>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1"/>
    <w:locked/>
    <w:rsid w:val="0055645D"/>
    <w:rPr>
      <w:rFonts w:ascii="Calibri" w:hAnsi="Calibri" w:cs="Calibri"/>
    </w:rPr>
  </w:style>
  <w:style w:type="character" w:styleId="UnresolvedMention">
    <w:name w:val="Unresolved Mention"/>
    <w:basedOn w:val="DefaultParagraphFont"/>
    <w:uiPriority w:val="99"/>
    <w:semiHidden/>
    <w:unhideWhenUsed/>
    <w:rsid w:val="002450D4"/>
    <w:rPr>
      <w:color w:val="605E5C"/>
      <w:shd w:val="clear" w:color="auto" w:fill="E1DFDD"/>
    </w:rPr>
  </w:style>
  <w:style w:type="character" w:styleId="FollowedHyperlink">
    <w:name w:val="FollowedHyperlink"/>
    <w:basedOn w:val="DefaultParagraphFont"/>
    <w:uiPriority w:val="99"/>
    <w:semiHidden/>
    <w:unhideWhenUsed/>
    <w:rsid w:val="002450D4"/>
    <w:rPr>
      <w:color w:val="954F72" w:themeColor="followedHyperlink"/>
      <w:u w:val="single"/>
    </w:rPr>
  </w:style>
  <w:style w:type="paragraph" w:customStyle="1" w:styleId="Style1">
    <w:name w:val="Style1"/>
    <w:basedOn w:val="Heading1"/>
    <w:qFormat/>
    <w:rsid w:val="00BF0914"/>
    <w:pPr>
      <w:numPr>
        <w:numId w:val="0"/>
      </w:numPr>
      <w:ind w:left="762" w:hanging="567"/>
    </w:pPr>
    <w:rPr>
      <w:rFonts w:ascii="Calibri" w:hAnsi="Calibri"/>
      <w:b w:val="0"/>
    </w:rPr>
  </w:style>
  <w:style w:type="paragraph" w:styleId="FootnoteText">
    <w:name w:val="footnote text"/>
    <w:basedOn w:val="Normal"/>
    <w:link w:val="FootnoteTextChar"/>
    <w:uiPriority w:val="99"/>
    <w:semiHidden/>
    <w:unhideWhenUsed/>
    <w:rsid w:val="00925E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5E58"/>
    <w:rPr>
      <w:sz w:val="20"/>
      <w:szCs w:val="20"/>
    </w:rPr>
  </w:style>
  <w:style w:type="character" w:styleId="FootnoteReference">
    <w:name w:val="footnote reference"/>
    <w:basedOn w:val="DefaultParagraphFont"/>
    <w:uiPriority w:val="99"/>
    <w:semiHidden/>
    <w:unhideWhenUsed/>
    <w:rsid w:val="00925E58"/>
    <w:rPr>
      <w:vertAlign w:val="superscript"/>
    </w:rPr>
  </w:style>
  <w:style w:type="paragraph" w:styleId="TOC3">
    <w:name w:val="toc 3"/>
    <w:basedOn w:val="Normal"/>
    <w:next w:val="Normal"/>
    <w:autoRedefine/>
    <w:uiPriority w:val="39"/>
    <w:unhideWhenUsed/>
    <w:rsid w:val="003443BC"/>
    <w:pPr>
      <w:spacing w:after="0"/>
      <w:ind w:left="440"/>
    </w:pPr>
    <w:rPr>
      <w:rFonts w:cstheme="minorHAnsi"/>
      <w:i/>
      <w:iCs/>
      <w:sz w:val="20"/>
      <w:szCs w:val="20"/>
    </w:rPr>
  </w:style>
  <w:style w:type="paragraph" w:styleId="TOC4">
    <w:name w:val="toc 4"/>
    <w:basedOn w:val="Normal"/>
    <w:next w:val="Normal"/>
    <w:autoRedefine/>
    <w:uiPriority w:val="39"/>
    <w:unhideWhenUsed/>
    <w:rsid w:val="003443BC"/>
    <w:pPr>
      <w:spacing w:after="0"/>
      <w:ind w:left="660"/>
    </w:pPr>
    <w:rPr>
      <w:rFonts w:cstheme="minorHAnsi"/>
      <w:sz w:val="18"/>
      <w:szCs w:val="18"/>
    </w:rPr>
  </w:style>
  <w:style w:type="paragraph" w:styleId="TOC5">
    <w:name w:val="toc 5"/>
    <w:basedOn w:val="Normal"/>
    <w:next w:val="Normal"/>
    <w:autoRedefine/>
    <w:uiPriority w:val="39"/>
    <w:unhideWhenUsed/>
    <w:rsid w:val="003443BC"/>
    <w:pPr>
      <w:spacing w:after="0"/>
      <w:ind w:left="880"/>
    </w:pPr>
    <w:rPr>
      <w:rFonts w:cstheme="minorHAnsi"/>
      <w:sz w:val="18"/>
      <w:szCs w:val="18"/>
    </w:rPr>
  </w:style>
  <w:style w:type="paragraph" w:styleId="TOC6">
    <w:name w:val="toc 6"/>
    <w:basedOn w:val="Normal"/>
    <w:next w:val="Normal"/>
    <w:autoRedefine/>
    <w:uiPriority w:val="39"/>
    <w:unhideWhenUsed/>
    <w:rsid w:val="003443BC"/>
    <w:pPr>
      <w:spacing w:after="0"/>
      <w:ind w:left="1100"/>
    </w:pPr>
    <w:rPr>
      <w:rFonts w:cstheme="minorHAnsi"/>
      <w:sz w:val="18"/>
      <w:szCs w:val="18"/>
    </w:rPr>
  </w:style>
  <w:style w:type="paragraph" w:styleId="TOC7">
    <w:name w:val="toc 7"/>
    <w:basedOn w:val="Normal"/>
    <w:next w:val="Normal"/>
    <w:autoRedefine/>
    <w:uiPriority w:val="39"/>
    <w:unhideWhenUsed/>
    <w:rsid w:val="003443BC"/>
    <w:pPr>
      <w:spacing w:after="0"/>
      <w:ind w:left="1320"/>
    </w:pPr>
    <w:rPr>
      <w:rFonts w:cstheme="minorHAnsi"/>
      <w:sz w:val="18"/>
      <w:szCs w:val="18"/>
    </w:rPr>
  </w:style>
  <w:style w:type="paragraph" w:styleId="TOC8">
    <w:name w:val="toc 8"/>
    <w:basedOn w:val="Normal"/>
    <w:next w:val="Normal"/>
    <w:autoRedefine/>
    <w:uiPriority w:val="39"/>
    <w:unhideWhenUsed/>
    <w:rsid w:val="003443BC"/>
    <w:pPr>
      <w:spacing w:after="0"/>
      <w:ind w:left="1540"/>
    </w:pPr>
    <w:rPr>
      <w:rFonts w:cstheme="minorHAnsi"/>
      <w:sz w:val="18"/>
      <w:szCs w:val="18"/>
    </w:rPr>
  </w:style>
  <w:style w:type="paragraph" w:styleId="TOC9">
    <w:name w:val="toc 9"/>
    <w:basedOn w:val="Normal"/>
    <w:next w:val="Normal"/>
    <w:autoRedefine/>
    <w:uiPriority w:val="39"/>
    <w:unhideWhenUsed/>
    <w:rsid w:val="003443BC"/>
    <w:pPr>
      <w:spacing w:after="0"/>
      <w:ind w:left="1760"/>
    </w:pPr>
    <w:rPr>
      <w:rFonts w:cstheme="minorHAnsi"/>
      <w:sz w:val="18"/>
      <w:szCs w:val="18"/>
    </w:rPr>
  </w:style>
  <w:style w:type="paragraph" w:styleId="Revision">
    <w:name w:val="Revision"/>
    <w:hidden/>
    <w:uiPriority w:val="99"/>
    <w:semiHidden/>
    <w:rsid w:val="009502D5"/>
    <w:pPr>
      <w:spacing w:after="0" w:line="240" w:lineRule="auto"/>
    </w:pPr>
  </w:style>
  <w:style w:type="character" w:customStyle="1" w:styleId="cf01">
    <w:name w:val="cf01"/>
    <w:basedOn w:val="DefaultParagraphFont"/>
    <w:rsid w:val="0068314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561760">
      <w:bodyDiv w:val="1"/>
      <w:marLeft w:val="0"/>
      <w:marRight w:val="0"/>
      <w:marTop w:val="0"/>
      <w:marBottom w:val="0"/>
      <w:divBdr>
        <w:top w:val="none" w:sz="0" w:space="0" w:color="auto"/>
        <w:left w:val="none" w:sz="0" w:space="0" w:color="auto"/>
        <w:bottom w:val="none" w:sz="0" w:space="0" w:color="auto"/>
        <w:right w:val="none" w:sz="0" w:space="0" w:color="auto"/>
      </w:divBdr>
    </w:div>
    <w:div w:id="269049324">
      <w:bodyDiv w:val="1"/>
      <w:marLeft w:val="0"/>
      <w:marRight w:val="0"/>
      <w:marTop w:val="0"/>
      <w:marBottom w:val="0"/>
      <w:divBdr>
        <w:top w:val="none" w:sz="0" w:space="0" w:color="auto"/>
        <w:left w:val="none" w:sz="0" w:space="0" w:color="auto"/>
        <w:bottom w:val="none" w:sz="0" w:space="0" w:color="auto"/>
        <w:right w:val="none" w:sz="0" w:space="0" w:color="auto"/>
      </w:divBdr>
    </w:div>
    <w:div w:id="439110998">
      <w:bodyDiv w:val="1"/>
      <w:marLeft w:val="0"/>
      <w:marRight w:val="0"/>
      <w:marTop w:val="0"/>
      <w:marBottom w:val="0"/>
      <w:divBdr>
        <w:top w:val="none" w:sz="0" w:space="0" w:color="auto"/>
        <w:left w:val="none" w:sz="0" w:space="0" w:color="auto"/>
        <w:bottom w:val="none" w:sz="0" w:space="0" w:color="auto"/>
        <w:right w:val="none" w:sz="0" w:space="0" w:color="auto"/>
      </w:divBdr>
    </w:div>
    <w:div w:id="613099746">
      <w:bodyDiv w:val="1"/>
      <w:marLeft w:val="0"/>
      <w:marRight w:val="0"/>
      <w:marTop w:val="0"/>
      <w:marBottom w:val="0"/>
      <w:divBdr>
        <w:top w:val="none" w:sz="0" w:space="0" w:color="auto"/>
        <w:left w:val="none" w:sz="0" w:space="0" w:color="auto"/>
        <w:bottom w:val="none" w:sz="0" w:space="0" w:color="auto"/>
        <w:right w:val="none" w:sz="0" w:space="0" w:color="auto"/>
      </w:divBdr>
    </w:div>
    <w:div w:id="718016110">
      <w:bodyDiv w:val="1"/>
      <w:marLeft w:val="0"/>
      <w:marRight w:val="0"/>
      <w:marTop w:val="0"/>
      <w:marBottom w:val="0"/>
      <w:divBdr>
        <w:top w:val="none" w:sz="0" w:space="0" w:color="auto"/>
        <w:left w:val="none" w:sz="0" w:space="0" w:color="auto"/>
        <w:bottom w:val="none" w:sz="0" w:space="0" w:color="auto"/>
        <w:right w:val="none" w:sz="0" w:space="0" w:color="auto"/>
      </w:divBdr>
    </w:div>
    <w:div w:id="1205747922">
      <w:bodyDiv w:val="1"/>
      <w:marLeft w:val="0"/>
      <w:marRight w:val="0"/>
      <w:marTop w:val="0"/>
      <w:marBottom w:val="0"/>
      <w:divBdr>
        <w:top w:val="none" w:sz="0" w:space="0" w:color="auto"/>
        <w:left w:val="none" w:sz="0" w:space="0" w:color="auto"/>
        <w:bottom w:val="none" w:sz="0" w:space="0" w:color="auto"/>
        <w:right w:val="none" w:sz="0" w:space="0" w:color="auto"/>
      </w:divBdr>
    </w:div>
    <w:div w:id="1241717644">
      <w:bodyDiv w:val="1"/>
      <w:marLeft w:val="0"/>
      <w:marRight w:val="0"/>
      <w:marTop w:val="0"/>
      <w:marBottom w:val="0"/>
      <w:divBdr>
        <w:top w:val="none" w:sz="0" w:space="0" w:color="auto"/>
        <w:left w:val="none" w:sz="0" w:space="0" w:color="auto"/>
        <w:bottom w:val="none" w:sz="0" w:space="0" w:color="auto"/>
        <w:right w:val="none" w:sz="0" w:space="0" w:color="auto"/>
      </w:divBdr>
    </w:div>
    <w:div w:id="1360087877">
      <w:bodyDiv w:val="1"/>
      <w:marLeft w:val="0"/>
      <w:marRight w:val="0"/>
      <w:marTop w:val="0"/>
      <w:marBottom w:val="0"/>
      <w:divBdr>
        <w:top w:val="none" w:sz="0" w:space="0" w:color="auto"/>
        <w:left w:val="none" w:sz="0" w:space="0" w:color="auto"/>
        <w:bottom w:val="none" w:sz="0" w:space="0" w:color="auto"/>
        <w:right w:val="none" w:sz="0" w:space="0" w:color="auto"/>
      </w:divBdr>
    </w:div>
    <w:div w:id="1387728336">
      <w:bodyDiv w:val="1"/>
      <w:marLeft w:val="0"/>
      <w:marRight w:val="0"/>
      <w:marTop w:val="0"/>
      <w:marBottom w:val="0"/>
      <w:divBdr>
        <w:top w:val="none" w:sz="0" w:space="0" w:color="auto"/>
        <w:left w:val="none" w:sz="0" w:space="0" w:color="auto"/>
        <w:bottom w:val="none" w:sz="0" w:space="0" w:color="auto"/>
        <w:right w:val="none" w:sz="0" w:space="0" w:color="auto"/>
      </w:divBdr>
    </w:div>
    <w:div w:id="1448964166">
      <w:bodyDiv w:val="1"/>
      <w:marLeft w:val="0"/>
      <w:marRight w:val="0"/>
      <w:marTop w:val="0"/>
      <w:marBottom w:val="0"/>
      <w:divBdr>
        <w:top w:val="none" w:sz="0" w:space="0" w:color="auto"/>
        <w:left w:val="none" w:sz="0" w:space="0" w:color="auto"/>
        <w:bottom w:val="none" w:sz="0" w:space="0" w:color="auto"/>
        <w:right w:val="none" w:sz="0" w:space="0" w:color="auto"/>
      </w:divBdr>
    </w:div>
    <w:div w:id="1504007511">
      <w:bodyDiv w:val="1"/>
      <w:marLeft w:val="0"/>
      <w:marRight w:val="0"/>
      <w:marTop w:val="0"/>
      <w:marBottom w:val="0"/>
      <w:divBdr>
        <w:top w:val="none" w:sz="0" w:space="0" w:color="auto"/>
        <w:left w:val="none" w:sz="0" w:space="0" w:color="auto"/>
        <w:bottom w:val="none" w:sz="0" w:space="0" w:color="auto"/>
        <w:right w:val="none" w:sz="0" w:space="0" w:color="auto"/>
      </w:divBdr>
    </w:div>
    <w:div w:id="1620836417">
      <w:bodyDiv w:val="1"/>
      <w:marLeft w:val="0"/>
      <w:marRight w:val="0"/>
      <w:marTop w:val="0"/>
      <w:marBottom w:val="0"/>
      <w:divBdr>
        <w:top w:val="none" w:sz="0" w:space="0" w:color="auto"/>
        <w:left w:val="none" w:sz="0" w:space="0" w:color="auto"/>
        <w:bottom w:val="none" w:sz="0" w:space="0" w:color="auto"/>
        <w:right w:val="none" w:sz="0" w:space="0" w:color="auto"/>
      </w:divBdr>
    </w:div>
    <w:div w:id="1751465544">
      <w:bodyDiv w:val="1"/>
      <w:marLeft w:val="0"/>
      <w:marRight w:val="0"/>
      <w:marTop w:val="0"/>
      <w:marBottom w:val="0"/>
      <w:divBdr>
        <w:top w:val="none" w:sz="0" w:space="0" w:color="auto"/>
        <w:left w:val="none" w:sz="0" w:space="0" w:color="auto"/>
        <w:bottom w:val="none" w:sz="0" w:space="0" w:color="auto"/>
        <w:right w:val="none" w:sz="0" w:space="0" w:color="auto"/>
      </w:divBdr>
    </w:div>
    <w:div w:id="1807042670">
      <w:bodyDiv w:val="1"/>
      <w:marLeft w:val="0"/>
      <w:marRight w:val="0"/>
      <w:marTop w:val="0"/>
      <w:marBottom w:val="0"/>
      <w:divBdr>
        <w:top w:val="none" w:sz="0" w:space="0" w:color="auto"/>
        <w:left w:val="none" w:sz="0" w:space="0" w:color="auto"/>
        <w:bottom w:val="none" w:sz="0" w:space="0" w:color="auto"/>
        <w:right w:val="none" w:sz="0" w:space="0" w:color="auto"/>
      </w:divBdr>
    </w:div>
    <w:div w:id="20204292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9.png"/><Relationship Id="rId39" Type="http://schemas.openxmlformats.org/officeDocument/2006/relationships/hyperlink" Target="https://www.england.nhs.uk/wp-content/uploads/2022/08/B1465-5.-Patient-Safety-Incident-Response-standards-v1-FINAL.pdf" TargetMode="External"/><Relationship Id="rId21" Type="http://schemas.openxmlformats.org/officeDocument/2006/relationships/diagramData" Target="diagrams/data1.xml"/><Relationship Id="rId34" Type="http://schemas.openxmlformats.org/officeDocument/2006/relationships/image" Target="media/image11.png"/><Relationship Id="rId42" Type="http://schemas.openxmlformats.org/officeDocument/2006/relationships/hyperlink" Target="https://www.rcplondon.ac.uk/sites/default/files/media/Documents/NMCRR%20guide%20England_0.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hyperlink" Target="https://www.england.nhs.uk/wp-content/uploads/2022/08/B1465-Swarm-huddle-v1-FINAL.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diagramColors" Target="diagrams/colors1.xml"/><Relationship Id="rId32" Type="http://schemas.openxmlformats.org/officeDocument/2006/relationships/image" Target="media/image10.png"/><Relationship Id="rId37" Type="http://schemas.openxmlformats.org/officeDocument/2006/relationships/hyperlink" Target="https://www.england.nhs.uk/wp-content/uploads/2022/08/B1465-2.-Engaging-and-involving...-v1-FINAL.pdf" TargetMode="External"/><Relationship Id="rId40" Type="http://schemas.openxmlformats.org/officeDocument/2006/relationships/hyperlink" Target="https://www.england.nhs.uk/wp-content/uploads/2022/08/B1465-4.-Oversight-roles-and-responsibilities-specification-v1-FINAL.pdf"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diagramQuickStyle" Target="diagrams/quickStyle1.xml"/><Relationship Id="rId28" Type="http://schemas.openxmlformats.org/officeDocument/2006/relationships/hyperlink" Target="https://www.england.nhs.uk/wp-content/uploads/2022/08/B1465-MDT-review-v1_FINAL.pdf" TargetMode="External"/><Relationship Id="rId36" Type="http://schemas.openxmlformats.org/officeDocument/2006/relationships/hyperlink" Target="https://www.england.nhs.uk/patient-safety/incident-response-framework/" TargetMode="Externa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yperlink" Target="mailto:$HospSeriousAdverseEventNotification@spirehealthcare.com" TargetMode="External"/><Relationship Id="rId44" Type="http://schemas.openxmlformats.org/officeDocument/2006/relationships/hyperlink" Target="https://intranet.spirehealthcare.net/integrated-quality-governance/policy-manag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diagramLayout" Target="diagrams/layout1.xml"/><Relationship Id="rId27" Type="http://schemas.openxmlformats.org/officeDocument/2006/relationships/hyperlink" Target="https://www.england.nhs.uk/wp-content/uploads/2022/08/B1465-Swarm-huddle-v1-FINAL.pdf" TargetMode="External"/><Relationship Id="rId30" Type="http://schemas.openxmlformats.org/officeDocument/2006/relationships/hyperlink" Target="https://www.england.nhs.uk/wp-content/uploads/2022/08/B1465-MDT-review-v1_FINAL.pdf" TargetMode="External"/><Relationship Id="rId35" Type="http://schemas.openxmlformats.org/officeDocument/2006/relationships/hyperlink" Target="https://www.england.nhs.uk/patient-safety/patient-safety-insight/learning-from-patient-safety-events/learn-from-patient-safety-events-service/" TargetMode="External"/><Relationship Id="rId43"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microsoft.com/office/2007/relationships/diagramDrawing" Target="diagrams/drawing1.xml"/><Relationship Id="rId33" Type="http://schemas.openxmlformats.org/officeDocument/2006/relationships/hyperlink" Target="https://www.england.nhs.uk/wp-content/uploads/2022/08/B1465-Safety-action-development-v1.1.pdf" TargetMode="External"/><Relationship Id="rId38" Type="http://schemas.openxmlformats.org/officeDocument/2006/relationships/hyperlink" Target="https://www.england.nhs.uk/wp-content/uploads/2022/08/B1465-3.-Guide-to-responding-proportionately-to-patient-safety-incidents-v1.1.pdf" TargetMode="External"/><Relationship Id="rId46" Type="http://schemas.openxmlformats.org/officeDocument/2006/relationships/theme" Target="theme/theme1.xml"/><Relationship Id="rId20" Type="http://schemas.openxmlformats.org/officeDocument/2006/relationships/hyperlink" Target="https://www.england.nhs.uk/wp-content/uploads/2022/08/B1465-1.-PSIRF-v1-FINAL.pdf" TargetMode="External"/><Relationship Id="rId41" Type="http://schemas.openxmlformats.org/officeDocument/2006/relationships/hyperlink" Target="https://psychsafety.co.uk/"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1EE8267-9573-4394-B1D0-13749E2854C0}" type="doc">
      <dgm:prSet loTypeId="urn:microsoft.com/office/officeart/2005/8/layout/default" loCatId="list" qsTypeId="urn:microsoft.com/office/officeart/2005/8/quickstyle/simple5" qsCatId="simple" csTypeId="urn:microsoft.com/office/officeart/2005/8/colors/accent1_2" csCatId="accent1" phldr="1"/>
      <dgm:spPr/>
      <dgm:t>
        <a:bodyPr/>
        <a:lstStyle/>
        <a:p>
          <a:endParaRPr lang="en-GB"/>
        </a:p>
      </dgm:t>
    </dgm:pt>
    <dgm:pt modelId="{7C605AA6-7806-4A8A-AD0C-DA5F2A1D07B4}">
      <dgm:prSet phldrT="[Text]"/>
      <dgm:spPr/>
      <dgm:t>
        <a:bodyPr/>
        <a:lstStyle/>
        <a:p>
          <a:r>
            <a:rPr lang="en-GB"/>
            <a:t>Compassionate engagement and involvement of those affected by patient safety incidents </a:t>
          </a:r>
        </a:p>
      </dgm:t>
    </dgm:pt>
    <dgm:pt modelId="{6E5D563D-8EE6-4236-B0C0-8D760DE5EAAC}" type="parTrans" cxnId="{EF9F4936-ABFB-42FE-A825-C982FC058700}">
      <dgm:prSet/>
      <dgm:spPr/>
      <dgm:t>
        <a:bodyPr/>
        <a:lstStyle/>
        <a:p>
          <a:endParaRPr lang="en-GB"/>
        </a:p>
      </dgm:t>
    </dgm:pt>
    <dgm:pt modelId="{FA023EFA-2383-461A-AF47-006D251DBA81}" type="sibTrans" cxnId="{EF9F4936-ABFB-42FE-A825-C982FC058700}">
      <dgm:prSet/>
      <dgm:spPr/>
      <dgm:t>
        <a:bodyPr/>
        <a:lstStyle/>
        <a:p>
          <a:endParaRPr lang="en-GB"/>
        </a:p>
      </dgm:t>
    </dgm:pt>
    <dgm:pt modelId="{A5EB3AD7-040F-4FCC-912C-0FBA99A40996}">
      <dgm:prSet phldrT="[Text]"/>
      <dgm:spPr/>
      <dgm:t>
        <a:bodyPr/>
        <a:lstStyle/>
        <a:p>
          <a:r>
            <a:rPr lang="en-GB"/>
            <a:t>A system-based approach to learning </a:t>
          </a:r>
        </a:p>
      </dgm:t>
    </dgm:pt>
    <dgm:pt modelId="{FEF01B38-192D-4204-9415-E983444464A7}" type="parTrans" cxnId="{AD3E2E28-37C5-4C9A-9A9B-874C084A6071}">
      <dgm:prSet/>
      <dgm:spPr/>
      <dgm:t>
        <a:bodyPr/>
        <a:lstStyle/>
        <a:p>
          <a:endParaRPr lang="en-GB"/>
        </a:p>
      </dgm:t>
    </dgm:pt>
    <dgm:pt modelId="{F1971A3A-48F9-4C8B-B177-F042AB92493B}" type="sibTrans" cxnId="{AD3E2E28-37C5-4C9A-9A9B-874C084A6071}">
      <dgm:prSet/>
      <dgm:spPr/>
      <dgm:t>
        <a:bodyPr/>
        <a:lstStyle/>
        <a:p>
          <a:endParaRPr lang="en-GB"/>
        </a:p>
      </dgm:t>
    </dgm:pt>
    <dgm:pt modelId="{1A5B73A5-A861-4A79-9216-B47E60C140FE}">
      <dgm:prSet phldrT="[Text]"/>
      <dgm:spPr/>
      <dgm:t>
        <a:bodyPr/>
        <a:lstStyle/>
        <a:p>
          <a:r>
            <a:rPr lang="en-GB"/>
            <a:t>Considered and proportionate responses </a:t>
          </a:r>
        </a:p>
      </dgm:t>
    </dgm:pt>
    <dgm:pt modelId="{D4AB95CE-6CB0-447B-B1B4-5AE4E7453616}" type="parTrans" cxnId="{2146CE14-CD40-4361-92BB-6836F7E20080}">
      <dgm:prSet/>
      <dgm:spPr/>
      <dgm:t>
        <a:bodyPr/>
        <a:lstStyle/>
        <a:p>
          <a:endParaRPr lang="en-GB"/>
        </a:p>
      </dgm:t>
    </dgm:pt>
    <dgm:pt modelId="{E5503F20-82BA-41C0-8F16-417B05B57A4D}" type="sibTrans" cxnId="{2146CE14-CD40-4361-92BB-6836F7E20080}">
      <dgm:prSet/>
      <dgm:spPr/>
      <dgm:t>
        <a:bodyPr/>
        <a:lstStyle/>
        <a:p>
          <a:endParaRPr lang="en-GB"/>
        </a:p>
      </dgm:t>
    </dgm:pt>
    <dgm:pt modelId="{DEA2BA17-B07E-4AE2-BB91-C214A119C6B2}">
      <dgm:prSet phldrT="[Text]"/>
      <dgm:spPr/>
      <dgm:t>
        <a:bodyPr/>
        <a:lstStyle/>
        <a:p>
          <a:r>
            <a:rPr lang="en-GB"/>
            <a:t>Supportive oversight focused on strengthening response systems and improvement</a:t>
          </a:r>
        </a:p>
      </dgm:t>
    </dgm:pt>
    <dgm:pt modelId="{E82FD8A0-2933-4140-8462-FB5D687A0B09}" type="parTrans" cxnId="{B64F906A-693A-4ABB-9ECF-D59E9E9CE6E1}">
      <dgm:prSet/>
      <dgm:spPr/>
      <dgm:t>
        <a:bodyPr/>
        <a:lstStyle/>
        <a:p>
          <a:endParaRPr lang="en-GB"/>
        </a:p>
      </dgm:t>
    </dgm:pt>
    <dgm:pt modelId="{AC8510E7-5BB2-43DD-9FF5-EB5B8B07F36D}" type="sibTrans" cxnId="{B64F906A-693A-4ABB-9ECF-D59E9E9CE6E1}">
      <dgm:prSet/>
      <dgm:spPr/>
      <dgm:t>
        <a:bodyPr/>
        <a:lstStyle/>
        <a:p>
          <a:endParaRPr lang="en-GB"/>
        </a:p>
      </dgm:t>
    </dgm:pt>
    <dgm:pt modelId="{3BEE9B6D-9FB2-4B86-9EDB-449F385A0B8B}" type="pres">
      <dgm:prSet presAssocID="{F1EE8267-9573-4394-B1D0-13749E2854C0}" presName="diagram" presStyleCnt="0">
        <dgm:presLayoutVars>
          <dgm:dir/>
          <dgm:resizeHandles val="exact"/>
        </dgm:presLayoutVars>
      </dgm:prSet>
      <dgm:spPr/>
    </dgm:pt>
    <dgm:pt modelId="{08960213-AD81-46E9-BDD9-2E2E433D4632}" type="pres">
      <dgm:prSet presAssocID="{7C605AA6-7806-4A8A-AD0C-DA5F2A1D07B4}" presName="node" presStyleLbl="node1" presStyleIdx="0" presStyleCnt="4">
        <dgm:presLayoutVars>
          <dgm:bulletEnabled val="1"/>
        </dgm:presLayoutVars>
      </dgm:prSet>
      <dgm:spPr/>
    </dgm:pt>
    <dgm:pt modelId="{70DE7B3D-2759-4C95-8DE8-814B1D2E2B79}" type="pres">
      <dgm:prSet presAssocID="{FA023EFA-2383-461A-AF47-006D251DBA81}" presName="sibTrans" presStyleCnt="0"/>
      <dgm:spPr/>
    </dgm:pt>
    <dgm:pt modelId="{6A4E2880-E035-49DF-9D21-AEB9534F7AD7}" type="pres">
      <dgm:prSet presAssocID="{A5EB3AD7-040F-4FCC-912C-0FBA99A40996}" presName="node" presStyleLbl="node1" presStyleIdx="1" presStyleCnt="4">
        <dgm:presLayoutVars>
          <dgm:bulletEnabled val="1"/>
        </dgm:presLayoutVars>
      </dgm:prSet>
      <dgm:spPr/>
    </dgm:pt>
    <dgm:pt modelId="{783EF655-6C1A-4CDE-A23D-6CE58E9987CE}" type="pres">
      <dgm:prSet presAssocID="{F1971A3A-48F9-4C8B-B177-F042AB92493B}" presName="sibTrans" presStyleCnt="0"/>
      <dgm:spPr/>
    </dgm:pt>
    <dgm:pt modelId="{3466FAA5-B90C-4B95-BC64-A5F165B8EA1F}" type="pres">
      <dgm:prSet presAssocID="{1A5B73A5-A861-4A79-9216-B47E60C140FE}" presName="node" presStyleLbl="node1" presStyleIdx="2" presStyleCnt="4">
        <dgm:presLayoutVars>
          <dgm:bulletEnabled val="1"/>
        </dgm:presLayoutVars>
      </dgm:prSet>
      <dgm:spPr/>
    </dgm:pt>
    <dgm:pt modelId="{539A7B2A-1366-41C3-8047-5621733C792C}" type="pres">
      <dgm:prSet presAssocID="{E5503F20-82BA-41C0-8F16-417B05B57A4D}" presName="sibTrans" presStyleCnt="0"/>
      <dgm:spPr/>
    </dgm:pt>
    <dgm:pt modelId="{0A4B9C6C-2A06-4C5C-A5EE-D085D4F8AA85}" type="pres">
      <dgm:prSet presAssocID="{DEA2BA17-B07E-4AE2-BB91-C214A119C6B2}" presName="node" presStyleLbl="node1" presStyleIdx="3" presStyleCnt="4">
        <dgm:presLayoutVars>
          <dgm:bulletEnabled val="1"/>
        </dgm:presLayoutVars>
      </dgm:prSet>
      <dgm:spPr/>
    </dgm:pt>
  </dgm:ptLst>
  <dgm:cxnLst>
    <dgm:cxn modelId="{2146CE14-CD40-4361-92BB-6836F7E20080}" srcId="{F1EE8267-9573-4394-B1D0-13749E2854C0}" destId="{1A5B73A5-A861-4A79-9216-B47E60C140FE}" srcOrd="2" destOrd="0" parTransId="{D4AB95CE-6CB0-447B-B1B4-5AE4E7453616}" sibTransId="{E5503F20-82BA-41C0-8F16-417B05B57A4D}"/>
    <dgm:cxn modelId="{AD3E2E28-37C5-4C9A-9A9B-874C084A6071}" srcId="{F1EE8267-9573-4394-B1D0-13749E2854C0}" destId="{A5EB3AD7-040F-4FCC-912C-0FBA99A40996}" srcOrd="1" destOrd="0" parTransId="{FEF01B38-192D-4204-9415-E983444464A7}" sibTransId="{F1971A3A-48F9-4C8B-B177-F042AB92493B}"/>
    <dgm:cxn modelId="{EF9F4936-ABFB-42FE-A825-C982FC058700}" srcId="{F1EE8267-9573-4394-B1D0-13749E2854C0}" destId="{7C605AA6-7806-4A8A-AD0C-DA5F2A1D07B4}" srcOrd="0" destOrd="0" parTransId="{6E5D563D-8EE6-4236-B0C0-8D760DE5EAAC}" sibTransId="{FA023EFA-2383-461A-AF47-006D251DBA81}"/>
    <dgm:cxn modelId="{43C8AF61-1938-4376-94D4-7B1605D98C1C}" type="presOf" srcId="{1A5B73A5-A861-4A79-9216-B47E60C140FE}" destId="{3466FAA5-B90C-4B95-BC64-A5F165B8EA1F}" srcOrd="0" destOrd="0" presId="urn:microsoft.com/office/officeart/2005/8/layout/default"/>
    <dgm:cxn modelId="{B64F906A-693A-4ABB-9ECF-D59E9E9CE6E1}" srcId="{F1EE8267-9573-4394-B1D0-13749E2854C0}" destId="{DEA2BA17-B07E-4AE2-BB91-C214A119C6B2}" srcOrd="3" destOrd="0" parTransId="{E82FD8A0-2933-4140-8462-FB5D687A0B09}" sibTransId="{AC8510E7-5BB2-43DD-9FF5-EB5B8B07F36D}"/>
    <dgm:cxn modelId="{C71E0471-680B-4730-9F67-9F0CA842D465}" type="presOf" srcId="{A5EB3AD7-040F-4FCC-912C-0FBA99A40996}" destId="{6A4E2880-E035-49DF-9D21-AEB9534F7AD7}" srcOrd="0" destOrd="0" presId="urn:microsoft.com/office/officeart/2005/8/layout/default"/>
    <dgm:cxn modelId="{4329A376-347F-4721-8AEB-F6D9C08AD56D}" type="presOf" srcId="{F1EE8267-9573-4394-B1D0-13749E2854C0}" destId="{3BEE9B6D-9FB2-4B86-9EDB-449F385A0B8B}" srcOrd="0" destOrd="0" presId="urn:microsoft.com/office/officeart/2005/8/layout/default"/>
    <dgm:cxn modelId="{BFC0D176-693D-4E0D-A09E-AC7DF0AB50BB}" type="presOf" srcId="{DEA2BA17-B07E-4AE2-BB91-C214A119C6B2}" destId="{0A4B9C6C-2A06-4C5C-A5EE-D085D4F8AA85}" srcOrd="0" destOrd="0" presId="urn:microsoft.com/office/officeart/2005/8/layout/default"/>
    <dgm:cxn modelId="{FFDC7EAF-E8EC-4C8B-BCCC-99386475C799}" type="presOf" srcId="{7C605AA6-7806-4A8A-AD0C-DA5F2A1D07B4}" destId="{08960213-AD81-46E9-BDD9-2E2E433D4632}" srcOrd="0" destOrd="0" presId="urn:microsoft.com/office/officeart/2005/8/layout/default"/>
    <dgm:cxn modelId="{439B731C-C878-43A6-B77E-901B6414239E}" type="presParOf" srcId="{3BEE9B6D-9FB2-4B86-9EDB-449F385A0B8B}" destId="{08960213-AD81-46E9-BDD9-2E2E433D4632}" srcOrd="0" destOrd="0" presId="urn:microsoft.com/office/officeart/2005/8/layout/default"/>
    <dgm:cxn modelId="{D1D1F287-00A3-455A-B19A-3624A2472583}" type="presParOf" srcId="{3BEE9B6D-9FB2-4B86-9EDB-449F385A0B8B}" destId="{70DE7B3D-2759-4C95-8DE8-814B1D2E2B79}" srcOrd="1" destOrd="0" presId="urn:microsoft.com/office/officeart/2005/8/layout/default"/>
    <dgm:cxn modelId="{40108EDA-3355-4DB2-8EA0-FEBD33C5039D}" type="presParOf" srcId="{3BEE9B6D-9FB2-4B86-9EDB-449F385A0B8B}" destId="{6A4E2880-E035-49DF-9D21-AEB9534F7AD7}" srcOrd="2" destOrd="0" presId="urn:microsoft.com/office/officeart/2005/8/layout/default"/>
    <dgm:cxn modelId="{BD78310C-AF70-40FA-BB4A-B3A80A6F02FA}" type="presParOf" srcId="{3BEE9B6D-9FB2-4B86-9EDB-449F385A0B8B}" destId="{783EF655-6C1A-4CDE-A23D-6CE58E9987CE}" srcOrd="3" destOrd="0" presId="urn:microsoft.com/office/officeart/2005/8/layout/default"/>
    <dgm:cxn modelId="{D6717415-2610-43F6-B4DA-9D4954D367B0}" type="presParOf" srcId="{3BEE9B6D-9FB2-4B86-9EDB-449F385A0B8B}" destId="{3466FAA5-B90C-4B95-BC64-A5F165B8EA1F}" srcOrd="4" destOrd="0" presId="urn:microsoft.com/office/officeart/2005/8/layout/default"/>
    <dgm:cxn modelId="{1573DAFE-F276-4602-AF8E-EE074994CD26}" type="presParOf" srcId="{3BEE9B6D-9FB2-4B86-9EDB-449F385A0B8B}" destId="{539A7B2A-1366-41C3-8047-5621733C792C}" srcOrd="5" destOrd="0" presId="urn:microsoft.com/office/officeart/2005/8/layout/default"/>
    <dgm:cxn modelId="{52F6DD0B-6799-416C-99B9-81E76329BDA6}" type="presParOf" srcId="{3BEE9B6D-9FB2-4B86-9EDB-449F385A0B8B}" destId="{0A4B9C6C-2A06-4C5C-A5EE-D085D4F8AA85}" srcOrd="6" destOrd="0" presId="urn:microsoft.com/office/officeart/2005/8/layout/default"/>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8960213-AD81-46E9-BDD9-2E2E433D4632}">
      <dsp:nvSpPr>
        <dsp:cNvPr id="0" name=""/>
        <dsp:cNvSpPr/>
      </dsp:nvSpPr>
      <dsp:spPr>
        <a:xfrm>
          <a:off x="1978" y="105383"/>
          <a:ext cx="1569597" cy="941758"/>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Compassionate engagement and involvement of those affected by patient safety incidents </a:t>
          </a:r>
        </a:p>
      </dsp:txBody>
      <dsp:txXfrm>
        <a:off x="1978" y="105383"/>
        <a:ext cx="1569597" cy="941758"/>
      </dsp:txXfrm>
    </dsp:sp>
    <dsp:sp modelId="{6A4E2880-E035-49DF-9D21-AEB9534F7AD7}">
      <dsp:nvSpPr>
        <dsp:cNvPr id="0" name=""/>
        <dsp:cNvSpPr/>
      </dsp:nvSpPr>
      <dsp:spPr>
        <a:xfrm>
          <a:off x="1728535" y="105383"/>
          <a:ext cx="1569597" cy="941758"/>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A system-based approach to learning </a:t>
          </a:r>
        </a:p>
      </dsp:txBody>
      <dsp:txXfrm>
        <a:off x="1728535" y="105383"/>
        <a:ext cx="1569597" cy="941758"/>
      </dsp:txXfrm>
    </dsp:sp>
    <dsp:sp modelId="{3466FAA5-B90C-4B95-BC64-A5F165B8EA1F}">
      <dsp:nvSpPr>
        <dsp:cNvPr id="0" name=""/>
        <dsp:cNvSpPr/>
      </dsp:nvSpPr>
      <dsp:spPr>
        <a:xfrm>
          <a:off x="3455092" y="105383"/>
          <a:ext cx="1569597" cy="941758"/>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Considered and proportionate responses </a:t>
          </a:r>
        </a:p>
      </dsp:txBody>
      <dsp:txXfrm>
        <a:off x="3455092" y="105383"/>
        <a:ext cx="1569597" cy="941758"/>
      </dsp:txXfrm>
    </dsp:sp>
    <dsp:sp modelId="{0A4B9C6C-2A06-4C5C-A5EE-D085D4F8AA85}">
      <dsp:nvSpPr>
        <dsp:cNvPr id="0" name=""/>
        <dsp:cNvSpPr/>
      </dsp:nvSpPr>
      <dsp:spPr>
        <a:xfrm>
          <a:off x="5181649" y="105383"/>
          <a:ext cx="1569597" cy="941758"/>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Supportive oversight focused on strengthening response systems and improvement</a:t>
          </a:r>
        </a:p>
      </dsp:txBody>
      <dsp:txXfrm>
        <a:off x="5181649" y="105383"/>
        <a:ext cx="1569597" cy="941758"/>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30c3f42-4166-4874-a2dd-be9000ece8b3">
      <UserInfo>
        <DisplayName>CALE, Cathy</DisplayName>
        <AccountId>51</AccountId>
        <AccountType/>
      </UserInfo>
      <UserInfo>
        <DisplayName>THACKER, Tracey</DisplayName>
        <AccountId>36</AccountId>
        <AccountType/>
      </UserInfo>
      <UserInfo>
        <DisplayName>MINTER, Matthew</DisplayName>
        <AccountId>43</AccountId>
        <AccountType/>
      </UserInfo>
    </SharedWithUsers>
    <lcf76f155ced4ddcb4097134ff3c332f xmlns="990b1a75-30a3-4e50-8327-b18767436bb2">
      <Terms xmlns="http://schemas.microsoft.com/office/infopath/2007/PartnerControls"/>
    </lcf76f155ced4ddcb4097134ff3c332f>
    <TaxCatchAll xmlns="930c3f42-4166-4874-a2dd-be9000ece8b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FCEB5F5E89F1C4BA7F54CD8079E76C6" ma:contentTypeVersion="17" ma:contentTypeDescription="Create a new document." ma:contentTypeScope="" ma:versionID="aa7d02999f87aee6edee5d46ab4f3bc1">
  <xsd:schema xmlns:xsd="http://www.w3.org/2001/XMLSchema" xmlns:xs="http://www.w3.org/2001/XMLSchema" xmlns:p="http://schemas.microsoft.com/office/2006/metadata/properties" xmlns:ns2="990b1a75-30a3-4e50-8327-b18767436bb2" xmlns:ns3="930c3f42-4166-4874-a2dd-be9000ece8b3" targetNamespace="http://schemas.microsoft.com/office/2006/metadata/properties" ma:root="true" ma:fieldsID="d4f00dcd6e5a9e2e65bc9c1df1bcd05c" ns2:_="" ns3:_="">
    <xsd:import namespace="990b1a75-30a3-4e50-8327-b18767436bb2"/>
    <xsd:import namespace="930c3f42-4166-4874-a2dd-be9000ece8b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3:TaxCatchAll" minOccurs="0"/>
                <xsd:element ref="ns2:lcf76f155ced4ddcb4097134ff3c332f" minOccurs="0"/>
                <xsd:element ref="ns3:SharedWithUsers" minOccurs="0"/>
                <xsd:element ref="ns3:SharedWithDetails"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b1a75-30a3-4e50-8327-b18767436b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2ce34c9-d6f8-46c8-b61d-a5236457f52f"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descrip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0c3f42-4166-4874-a2dd-be9000ece8b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bd596d8-137b-401d-bfc2-782edf285fa8}" ma:internalName="TaxCatchAll" ma:showField="CatchAllData" ma:web="930c3f42-4166-4874-a2dd-be9000ece8b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C0FF29-8709-4AE0-9839-7DA66D2BA2AC}">
  <ds:schemaRefs>
    <ds:schemaRef ds:uri="http://schemas.microsoft.com/sharepoint/v3/contenttype/forms"/>
  </ds:schemaRefs>
</ds:datastoreItem>
</file>

<file path=customXml/itemProps2.xml><?xml version="1.0" encoding="utf-8"?>
<ds:datastoreItem xmlns:ds="http://schemas.openxmlformats.org/officeDocument/2006/customXml" ds:itemID="{0EA4CB2C-9B30-4DA2-908D-B824E6310DD0}">
  <ds:schemaRefs>
    <ds:schemaRef ds:uri="http://purl.org/dc/dcmitype/"/>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purl.org/dc/elements/1.1/"/>
    <ds:schemaRef ds:uri="930c3f42-4166-4874-a2dd-be9000ece8b3"/>
    <ds:schemaRef ds:uri="990b1a75-30a3-4e50-8327-b18767436bb2"/>
    <ds:schemaRef ds:uri="http://purl.org/dc/terms/"/>
  </ds:schemaRefs>
</ds:datastoreItem>
</file>

<file path=customXml/itemProps3.xml><?xml version="1.0" encoding="utf-8"?>
<ds:datastoreItem xmlns:ds="http://schemas.openxmlformats.org/officeDocument/2006/customXml" ds:itemID="{D9B8CC7B-AB34-48D7-B8A8-131362AD17A1}">
  <ds:schemaRefs>
    <ds:schemaRef ds:uri="http://schemas.openxmlformats.org/officeDocument/2006/bibliography"/>
  </ds:schemaRefs>
</ds:datastoreItem>
</file>

<file path=customXml/itemProps4.xml><?xml version="1.0" encoding="utf-8"?>
<ds:datastoreItem xmlns:ds="http://schemas.openxmlformats.org/officeDocument/2006/customXml" ds:itemID="{368CBE47-720A-41F9-9D76-2EF14FAC6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b1a75-30a3-4e50-8327-b18767436bb2"/>
    <ds:schemaRef ds:uri="930c3f42-4166-4874-a2dd-be9000ece8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8496</Words>
  <Characters>48433</Characters>
  <Application>Microsoft Office Word</Application>
  <DocSecurity>4</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Spire Healthcare</Company>
  <LinksUpToDate>false</LinksUpToDate>
  <CharactersWithSpaces>56816</CharactersWithSpaces>
  <SharedDoc>false</SharedDoc>
  <HLinks>
    <vt:vector size="240" baseType="variant">
      <vt:variant>
        <vt:i4>2359335</vt:i4>
      </vt:variant>
      <vt:variant>
        <vt:i4>210</vt:i4>
      </vt:variant>
      <vt:variant>
        <vt:i4>0</vt:i4>
      </vt:variant>
      <vt:variant>
        <vt:i4>5</vt:i4>
      </vt:variant>
      <vt:variant>
        <vt:lpwstr>https://www.england.nhs.uk/wp-content/uploads/2022/08/B1465-4.-Oversight-roles-and-responsibilities-specification-v1-FINAL.pdf</vt:lpwstr>
      </vt:variant>
      <vt:variant>
        <vt:lpwstr/>
      </vt:variant>
      <vt:variant>
        <vt:i4>6553696</vt:i4>
      </vt:variant>
      <vt:variant>
        <vt:i4>207</vt:i4>
      </vt:variant>
      <vt:variant>
        <vt:i4>0</vt:i4>
      </vt:variant>
      <vt:variant>
        <vt:i4>5</vt:i4>
      </vt:variant>
      <vt:variant>
        <vt:lpwstr>https://www.england.nhs.uk/wp-content/uploads/2022/08/B1465-5.-Patient-Safety-Incident-Response-standards-v1-FINAL.pdf</vt:lpwstr>
      </vt:variant>
      <vt:variant>
        <vt:lpwstr/>
      </vt:variant>
      <vt:variant>
        <vt:i4>3473448</vt:i4>
      </vt:variant>
      <vt:variant>
        <vt:i4>204</vt:i4>
      </vt:variant>
      <vt:variant>
        <vt:i4>0</vt:i4>
      </vt:variant>
      <vt:variant>
        <vt:i4>5</vt:i4>
      </vt:variant>
      <vt:variant>
        <vt:lpwstr>https://www.england.nhs.uk/wp-content/uploads/2022/08/B1465-3.-Guide-to-responding-proportionately-to-patient-safety-incidents-v1.1.pdf</vt:lpwstr>
      </vt:variant>
      <vt:variant>
        <vt:lpwstr/>
      </vt:variant>
      <vt:variant>
        <vt:i4>983123</vt:i4>
      </vt:variant>
      <vt:variant>
        <vt:i4>201</vt:i4>
      </vt:variant>
      <vt:variant>
        <vt:i4>0</vt:i4>
      </vt:variant>
      <vt:variant>
        <vt:i4>5</vt:i4>
      </vt:variant>
      <vt:variant>
        <vt:lpwstr>https://www.england.nhs.uk/wp-content/uploads/2022/08/B1465-2.-Engaging-and-involving...-v1-FINAL.pdf</vt:lpwstr>
      </vt:variant>
      <vt:variant>
        <vt:lpwstr/>
      </vt:variant>
      <vt:variant>
        <vt:i4>7274595</vt:i4>
      </vt:variant>
      <vt:variant>
        <vt:i4>198</vt:i4>
      </vt:variant>
      <vt:variant>
        <vt:i4>0</vt:i4>
      </vt:variant>
      <vt:variant>
        <vt:i4>5</vt:i4>
      </vt:variant>
      <vt:variant>
        <vt:lpwstr>https://www.england.nhs.uk/patient-safety/incident-response-framework/</vt:lpwstr>
      </vt:variant>
      <vt:variant>
        <vt:lpwstr/>
      </vt:variant>
      <vt:variant>
        <vt:i4>3735606</vt:i4>
      </vt:variant>
      <vt:variant>
        <vt:i4>195</vt:i4>
      </vt:variant>
      <vt:variant>
        <vt:i4>0</vt:i4>
      </vt:variant>
      <vt:variant>
        <vt:i4>5</vt:i4>
      </vt:variant>
      <vt:variant>
        <vt:lpwstr>https://www.england.nhs.uk/wp-content/uploads/2022/08/B1465-Safety-action-development-v1.1.pdf</vt:lpwstr>
      </vt:variant>
      <vt:variant>
        <vt:lpwstr/>
      </vt:variant>
      <vt:variant>
        <vt:i4>1900643</vt:i4>
      </vt:variant>
      <vt:variant>
        <vt:i4>192</vt:i4>
      </vt:variant>
      <vt:variant>
        <vt:i4>0</vt:i4>
      </vt:variant>
      <vt:variant>
        <vt:i4>5</vt:i4>
      </vt:variant>
      <vt:variant>
        <vt:lpwstr>https://www.england.nhs.uk/wp-content/uploads/2022/08/B1465-MDT-review-v1_FINAL.pdf</vt:lpwstr>
      </vt:variant>
      <vt:variant>
        <vt:lpwstr/>
      </vt:variant>
      <vt:variant>
        <vt:i4>3145774</vt:i4>
      </vt:variant>
      <vt:variant>
        <vt:i4>189</vt:i4>
      </vt:variant>
      <vt:variant>
        <vt:i4>0</vt:i4>
      </vt:variant>
      <vt:variant>
        <vt:i4>5</vt:i4>
      </vt:variant>
      <vt:variant>
        <vt:lpwstr>https://www.england.nhs.uk/wp-content/uploads/2021/12/qsir-after-action-review.pdf</vt:lpwstr>
      </vt:variant>
      <vt:variant>
        <vt:lpwstr/>
      </vt:variant>
      <vt:variant>
        <vt:i4>65540</vt:i4>
      </vt:variant>
      <vt:variant>
        <vt:i4>186</vt:i4>
      </vt:variant>
      <vt:variant>
        <vt:i4>0</vt:i4>
      </vt:variant>
      <vt:variant>
        <vt:i4>5</vt:i4>
      </vt:variant>
      <vt:variant>
        <vt:lpwstr>https://www.england.nhs.uk/wp-content/uploads/2022/08/B1465-Swarm-huddle-v1-FINAL.pdf</vt:lpwstr>
      </vt:variant>
      <vt:variant>
        <vt:lpwstr/>
      </vt:variant>
      <vt:variant>
        <vt:i4>786438</vt:i4>
      </vt:variant>
      <vt:variant>
        <vt:i4>183</vt:i4>
      </vt:variant>
      <vt:variant>
        <vt:i4>0</vt:i4>
      </vt:variant>
      <vt:variant>
        <vt:i4>5</vt:i4>
      </vt:variant>
      <vt:variant>
        <vt:lpwstr>https://www.england.nhs.uk/wp-content/uploads/2022/08/B1465-1.-PSIRF-v1-FINAL.pdf</vt:lpwstr>
      </vt:variant>
      <vt:variant>
        <vt:lpwstr/>
      </vt:variant>
      <vt:variant>
        <vt:i4>1310773</vt:i4>
      </vt:variant>
      <vt:variant>
        <vt:i4>176</vt:i4>
      </vt:variant>
      <vt:variant>
        <vt:i4>0</vt:i4>
      </vt:variant>
      <vt:variant>
        <vt:i4>5</vt:i4>
      </vt:variant>
      <vt:variant>
        <vt:lpwstr/>
      </vt:variant>
      <vt:variant>
        <vt:lpwstr>_Toc148650916</vt:lpwstr>
      </vt:variant>
      <vt:variant>
        <vt:i4>1310773</vt:i4>
      </vt:variant>
      <vt:variant>
        <vt:i4>170</vt:i4>
      </vt:variant>
      <vt:variant>
        <vt:i4>0</vt:i4>
      </vt:variant>
      <vt:variant>
        <vt:i4>5</vt:i4>
      </vt:variant>
      <vt:variant>
        <vt:lpwstr/>
      </vt:variant>
      <vt:variant>
        <vt:lpwstr>_Toc148650915</vt:lpwstr>
      </vt:variant>
      <vt:variant>
        <vt:i4>1310773</vt:i4>
      </vt:variant>
      <vt:variant>
        <vt:i4>164</vt:i4>
      </vt:variant>
      <vt:variant>
        <vt:i4>0</vt:i4>
      </vt:variant>
      <vt:variant>
        <vt:i4>5</vt:i4>
      </vt:variant>
      <vt:variant>
        <vt:lpwstr/>
      </vt:variant>
      <vt:variant>
        <vt:lpwstr>_Toc148650914</vt:lpwstr>
      </vt:variant>
      <vt:variant>
        <vt:i4>1310773</vt:i4>
      </vt:variant>
      <vt:variant>
        <vt:i4>158</vt:i4>
      </vt:variant>
      <vt:variant>
        <vt:i4>0</vt:i4>
      </vt:variant>
      <vt:variant>
        <vt:i4>5</vt:i4>
      </vt:variant>
      <vt:variant>
        <vt:lpwstr/>
      </vt:variant>
      <vt:variant>
        <vt:lpwstr>_Toc148650913</vt:lpwstr>
      </vt:variant>
      <vt:variant>
        <vt:i4>1310773</vt:i4>
      </vt:variant>
      <vt:variant>
        <vt:i4>152</vt:i4>
      </vt:variant>
      <vt:variant>
        <vt:i4>0</vt:i4>
      </vt:variant>
      <vt:variant>
        <vt:i4>5</vt:i4>
      </vt:variant>
      <vt:variant>
        <vt:lpwstr/>
      </vt:variant>
      <vt:variant>
        <vt:lpwstr>_Toc148650912</vt:lpwstr>
      </vt:variant>
      <vt:variant>
        <vt:i4>1310773</vt:i4>
      </vt:variant>
      <vt:variant>
        <vt:i4>146</vt:i4>
      </vt:variant>
      <vt:variant>
        <vt:i4>0</vt:i4>
      </vt:variant>
      <vt:variant>
        <vt:i4>5</vt:i4>
      </vt:variant>
      <vt:variant>
        <vt:lpwstr/>
      </vt:variant>
      <vt:variant>
        <vt:lpwstr>_Toc148650911</vt:lpwstr>
      </vt:variant>
      <vt:variant>
        <vt:i4>1310773</vt:i4>
      </vt:variant>
      <vt:variant>
        <vt:i4>140</vt:i4>
      </vt:variant>
      <vt:variant>
        <vt:i4>0</vt:i4>
      </vt:variant>
      <vt:variant>
        <vt:i4>5</vt:i4>
      </vt:variant>
      <vt:variant>
        <vt:lpwstr/>
      </vt:variant>
      <vt:variant>
        <vt:lpwstr>_Toc148650910</vt:lpwstr>
      </vt:variant>
      <vt:variant>
        <vt:i4>1376309</vt:i4>
      </vt:variant>
      <vt:variant>
        <vt:i4>134</vt:i4>
      </vt:variant>
      <vt:variant>
        <vt:i4>0</vt:i4>
      </vt:variant>
      <vt:variant>
        <vt:i4>5</vt:i4>
      </vt:variant>
      <vt:variant>
        <vt:lpwstr/>
      </vt:variant>
      <vt:variant>
        <vt:lpwstr>_Toc148650909</vt:lpwstr>
      </vt:variant>
      <vt:variant>
        <vt:i4>1376309</vt:i4>
      </vt:variant>
      <vt:variant>
        <vt:i4>128</vt:i4>
      </vt:variant>
      <vt:variant>
        <vt:i4>0</vt:i4>
      </vt:variant>
      <vt:variant>
        <vt:i4>5</vt:i4>
      </vt:variant>
      <vt:variant>
        <vt:lpwstr/>
      </vt:variant>
      <vt:variant>
        <vt:lpwstr>_Toc148650908</vt:lpwstr>
      </vt:variant>
      <vt:variant>
        <vt:i4>1376309</vt:i4>
      </vt:variant>
      <vt:variant>
        <vt:i4>122</vt:i4>
      </vt:variant>
      <vt:variant>
        <vt:i4>0</vt:i4>
      </vt:variant>
      <vt:variant>
        <vt:i4>5</vt:i4>
      </vt:variant>
      <vt:variant>
        <vt:lpwstr/>
      </vt:variant>
      <vt:variant>
        <vt:lpwstr>_Toc148650907</vt:lpwstr>
      </vt:variant>
      <vt:variant>
        <vt:i4>1376309</vt:i4>
      </vt:variant>
      <vt:variant>
        <vt:i4>116</vt:i4>
      </vt:variant>
      <vt:variant>
        <vt:i4>0</vt:i4>
      </vt:variant>
      <vt:variant>
        <vt:i4>5</vt:i4>
      </vt:variant>
      <vt:variant>
        <vt:lpwstr/>
      </vt:variant>
      <vt:variant>
        <vt:lpwstr>_Toc148650906</vt:lpwstr>
      </vt:variant>
      <vt:variant>
        <vt:i4>1376309</vt:i4>
      </vt:variant>
      <vt:variant>
        <vt:i4>110</vt:i4>
      </vt:variant>
      <vt:variant>
        <vt:i4>0</vt:i4>
      </vt:variant>
      <vt:variant>
        <vt:i4>5</vt:i4>
      </vt:variant>
      <vt:variant>
        <vt:lpwstr/>
      </vt:variant>
      <vt:variant>
        <vt:lpwstr>_Toc148650905</vt:lpwstr>
      </vt:variant>
      <vt:variant>
        <vt:i4>1376309</vt:i4>
      </vt:variant>
      <vt:variant>
        <vt:i4>104</vt:i4>
      </vt:variant>
      <vt:variant>
        <vt:i4>0</vt:i4>
      </vt:variant>
      <vt:variant>
        <vt:i4>5</vt:i4>
      </vt:variant>
      <vt:variant>
        <vt:lpwstr/>
      </vt:variant>
      <vt:variant>
        <vt:lpwstr>_Toc148650904</vt:lpwstr>
      </vt:variant>
      <vt:variant>
        <vt:i4>1376309</vt:i4>
      </vt:variant>
      <vt:variant>
        <vt:i4>98</vt:i4>
      </vt:variant>
      <vt:variant>
        <vt:i4>0</vt:i4>
      </vt:variant>
      <vt:variant>
        <vt:i4>5</vt:i4>
      </vt:variant>
      <vt:variant>
        <vt:lpwstr/>
      </vt:variant>
      <vt:variant>
        <vt:lpwstr>_Toc148650903</vt:lpwstr>
      </vt:variant>
      <vt:variant>
        <vt:i4>1376309</vt:i4>
      </vt:variant>
      <vt:variant>
        <vt:i4>92</vt:i4>
      </vt:variant>
      <vt:variant>
        <vt:i4>0</vt:i4>
      </vt:variant>
      <vt:variant>
        <vt:i4>5</vt:i4>
      </vt:variant>
      <vt:variant>
        <vt:lpwstr/>
      </vt:variant>
      <vt:variant>
        <vt:lpwstr>_Toc148650902</vt:lpwstr>
      </vt:variant>
      <vt:variant>
        <vt:i4>1376309</vt:i4>
      </vt:variant>
      <vt:variant>
        <vt:i4>86</vt:i4>
      </vt:variant>
      <vt:variant>
        <vt:i4>0</vt:i4>
      </vt:variant>
      <vt:variant>
        <vt:i4>5</vt:i4>
      </vt:variant>
      <vt:variant>
        <vt:lpwstr/>
      </vt:variant>
      <vt:variant>
        <vt:lpwstr>_Toc148650901</vt:lpwstr>
      </vt:variant>
      <vt:variant>
        <vt:i4>1376309</vt:i4>
      </vt:variant>
      <vt:variant>
        <vt:i4>80</vt:i4>
      </vt:variant>
      <vt:variant>
        <vt:i4>0</vt:i4>
      </vt:variant>
      <vt:variant>
        <vt:i4>5</vt:i4>
      </vt:variant>
      <vt:variant>
        <vt:lpwstr/>
      </vt:variant>
      <vt:variant>
        <vt:lpwstr>_Toc148650900</vt:lpwstr>
      </vt:variant>
      <vt:variant>
        <vt:i4>1835060</vt:i4>
      </vt:variant>
      <vt:variant>
        <vt:i4>74</vt:i4>
      </vt:variant>
      <vt:variant>
        <vt:i4>0</vt:i4>
      </vt:variant>
      <vt:variant>
        <vt:i4>5</vt:i4>
      </vt:variant>
      <vt:variant>
        <vt:lpwstr/>
      </vt:variant>
      <vt:variant>
        <vt:lpwstr>_Toc148650899</vt:lpwstr>
      </vt:variant>
      <vt:variant>
        <vt:i4>1835060</vt:i4>
      </vt:variant>
      <vt:variant>
        <vt:i4>68</vt:i4>
      </vt:variant>
      <vt:variant>
        <vt:i4>0</vt:i4>
      </vt:variant>
      <vt:variant>
        <vt:i4>5</vt:i4>
      </vt:variant>
      <vt:variant>
        <vt:lpwstr/>
      </vt:variant>
      <vt:variant>
        <vt:lpwstr>_Toc148650897</vt:lpwstr>
      </vt:variant>
      <vt:variant>
        <vt:i4>1835060</vt:i4>
      </vt:variant>
      <vt:variant>
        <vt:i4>62</vt:i4>
      </vt:variant>
      <vt:variant>
        <vt:i4>0</vt:i4>
      </vt:variant>
      <vt:variant>
        <vt:i4>5</vt:i4>
      </vt:variant>
      <vt:variant>
        <vt:lpwstr/>
      </vt:variant>
      <vt:variant>
        <vt:lpwstr>_Toc148650894</vt:lpwstr>
      </vt:variant>
      <vt:variant>
        <vt:i4>1835060</vt:i4>
      </vt:variant>
      <vt:variant>
        <vt:i4>56</vt:i4>
      </vt:variant>
      <vt:variant>
        <vt:i4>0</vt:i4>
      </vt:variant>
      <vt:variant>
        <vt:i4>5</vt:i4>
      </vt:variant>
      <vt:variant>
        <vt:lpwstr/>
      </vt:variant>
      <vt:variant>
        <vt:lpwstr>_Toc148650893</vt:lpwstr>
      </vt:variant>
      <vt:variant>
        <vt:i4>1835060</vt:i4>
      </vt:variant>
      <vt:variant>
        <vt:i4>50</vt:i4>
      </vt:variant>
      <vt:variant>
        <vt:i4>0</vt:i4>
      </vt:variant>
      <vt:variant>
        <vt:i4>5</vt:i4>
      </vt:variant>
      <vt:variant>
        <vt:lpwstr/>
      </vt:variant>
      <vt:variant>
        <vt:lpwstr>_Toc148650892</vt:lpwstr>
      </vt:variant>
      <vt:variant>
        <vt:i4>1900596</vt:i4>
      </vt:variant>
      <vt:variant>
        <vt:i4>44</vt:i4>
      </vt:variant>
      <vt:variant>
        <vt:i4>0</vt:i4>
      </vt:variant>
      <vt:variant>
        <vt:i4>5</vt:i4>
      </vt:variant>
      <vt:variant>
        <vt:lpwstr/>
      </vt:variant>
      <vt:variant>
        <vt:lpwstr>_Toc148650886</vt:lpwstr>
      </vt:variant>
      <vt:variant>
        <vt:i4>1900596</vt:i4>
      </vt:variant>
      <vt:variant>
        <vt:i4>38</vt:i4>
      </vt:variant>
      <vt:variant>
        <vt:i4>0</vt:i4>
      </vt:variant>
      <vt:variant>
        <vt:i4>5</vt:i4>
      </vt:variant>
      <vt:variant>
        <vt:lpwstr/>
      </vt:variant>
      <vt:variant>
        <vt:lpwstr>_Toc148650885</vt:lpwstr>
      </vt:variant>
      <vt:variant>
        <vt:i4>1900596</vt:i4>
      </vt:variant>
      <vt:variant>
        <vt:i4>32</vt:i4>
      </vt:variant>
      <vt:variant>
        <vt:i4>0</vt:i4>
      </vt:variant>
      <vt:variant>
        <vt:i4>5</vt:i4>
      </vt:variant>
      <vt:variant>
        <vt:lpwstr/>
      </vt:variant>
      <vt:variant>
        <vt:lpwstr>_Toc148650884</vt:lpwstr>
      </vt:variant>
      <vt:variant>
        <vt:i4>1900596</vt:i4>
      </vt:variant>
      <vt:variant>
        <vt:i4>26</vt:i4>
      </vt:variant>
      <vt:variant>
        <vt:i4>0</vt:i4>
      </vt:variant>
      <vt:variant>
        <vt:i4>5</vt:i4>
      </vt:variant>
      <vt:variant>
        <vt:lpwstr/>
      </vt:variant>
      <vt:variant>
        <vt:lpwstr>_Toc148650882</vt:lpwstr>
      </vt:variant>
      <vt:variant>
        <vt:i4>1900596</vt:i4>
      </vt:variant>
      <vt:variant>
        <vt:i4>20</vt:i4>
      </vt:variant>
      <vt:variant>
        <vt:i4>0</vt:i4>
      </vt:variant>
      <vt:variant>
        <vt:i4>5</vt:i4>
      </vt:variant>
      <vt:variant>
        <vt:lpwstr/>
      </vt:variant>
      <vt:variant>
        <vt:lpwstr>_Toc148650881</vt:lpwstr>
      </vt:variant>
      <vt:variant>
        <vt:i4>1900596</vt:i4>
      </vt:variant>
      <vt:variant>
        <vt:i4>14</vt:i4>
      </vt:variant>
      <vt:variant>
        <vt:i4>0</vt:i4>
      </vt:variant>
      <vt:variant>
        <vt:i4>5</vt:i4>
      </vt:variant>
      <vt:variant>
        <vt:lpwstr/>
      </vt:variant>
      <vt:variant>
        <vt:lpwstr>_Toc148650880</vt:lpwstr>
      </vt:variant>
      <vt:variant>
        <vt:i4>1179700</vt:i4>
      </vt:variant>
      <vt:variant>
        <vt:i4>8</vt:i4>
      </vt:variant>
      <vt:variant>
        <vt:i4>0</vt:i4>
      </vt:variant>
      <vt:variant>
        <vt:i4>5</vt:i4>
      </vt:variant>
      <vt:variant>
        <vt:lpwstr/>
      </vt:variant>
      <vt:variant>
        <vt:lpwstr>_Toc148650879</vt:lpwstr>
      </vt:variant>
      <vt:variant>
        <vt:i4>1179700</vt:i4>
      </vt:variant>
      <vt:variant>
        <vt:i4>2</vt:i4>
      </vt:variant>
      <vt:variant>
        <vt:i4>0</vt:i4>
      </vt:variant>
      <vt:variant>
        <vt:i4>5</vt:i4>
      </vt:variant>
      <vt:variant>
        <vt:lpwstr/>
      </vt:variant>
      <vt:variant>
        <vt:lpwstr>_Toc148650878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STAPLES, Donna</dc:creator>
  <cp:keywords/>
  <dc:description/>
  <cp:lastModifiedBy>LAKER, Vanessa</cp:lastModifiedBy>
  <cp:revision>2</cp:revision>
  <cp:lastPrinted>2023-10-02T16:32:00Z</cp:lastPrinted>
  <dcterms:created xsi:type="dcterms:W3CDTF">2024-07-11T14:35:00Z</dcterms:created>
  <dcterms:modified xsi:type="dcterms:W3CDTF">2024-07-11T14:35:00Z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6f1c2da-5ba6-43c2-9d04-2e7b1cbc00a7_Enabled">
    <vt:lpwstr>true</vt:lpwstr>
  </property>
  <property fmtid="{D5CDD505-2E9C-101B-9397-08002B2CF9AE}" pid="3" name="MSIP_Label_86f1c2da-5ba6-43c2-9d04-2e7b1cbc00a7_SetDate">
    <vt:lpwstr>2023-10-16T10:20:48Z</vt:lpwstr>
  </property>
  <property fmtid="{D5CDD505-2E9C-101B-9397-08002B2CF9AE}" pid="4" name="MSIP_Label_86f1c2da-5ba6-43c2-9d04-2e7b1cbc00a7_Method">
    <vt:lpwstr>Standard</vt:lpwstr>
  </property>
  <property fmtid="{D5CDD505-2E9C-101B-9397-08002B2CF9AE}" pid="5" name="MSIP_Label_86f1c2da-5ba6-43c2-9d04-2e7b1cbc00a7_Name">
    <vt:lpwstr>Internal</vt:lpwstr>
  </property>
  <property fmtid="{D5CDD505-2E9C-101B-9397-08002B2CF9AE}" pid="6" name="MSIP_Label_86f1c2da-5ba6-43c2-9d04-2e7b1cbc00a7_SiteId">
    <vt:lpwstr>92dddc59-2f70-4354-9e3e-6253931db563</vt:lpwstr>
  </property>
  <property fmtid="{D5CDD505-2E9C-101B-9397-08002B2CF9AE}" pid="7" name="MSIP_Label_86f1c2da-5ba6-43c2-9d04-2e7b1cbc00a7_ActionId">
    <vt:lpwstr>e04840a4-fe78-4efa-a57d-e42e0e507082</vt:lpwstr>
  </property>
  <property fmtid="{D5CDD505-2E9C-101B-9397-08002B2CF9AE}" pid="8" name="MSIP_Label_86f1c2da-5ba6-43c2-9d04-2e7b1cbc00a7_ContentBits">
    <vt:lpwstr>0</vt:lpwstr>
  </property>
  <property fmtid="{D5CDD505-2E9C-101B-9397-08002B2CF9AE}" pid="9" name="ContentTypeId">
    <vt:lpwstr>0x0101001C4E123C3EB5B24DA8CC44F3261D5A05</vt:lpwstr>
  </property>
  <property fmtid="{D5CDD505-2E9C-101B-9397-08002B2CF9AE}" pid="10" name="MediaServiceImageTags">
    <vt:lpwstr/>
  </property>
</Properties>
</file>